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943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bCs/>
          <w:color w:val="auto"/>
          <w:sz w:val="72"/>
          <w:szCs w:val="72"/>
          <w:highlight w:val="none"/>
          <w:shd w:val="clear" w:color="auto" w:fill="auto"/>
          <w:lang w:eastAsia="zh-CN"/>
        </w:rPr>
      </w:pPr>
      <w:bookmarkStart w:id="4" w:name="_GoBack"/>
      <w:bookmarkEnd w:id="4"/>
    </w:p>
    <w:p w14:paraId="0EC7A52D">
      <w:pPr>
        <w:jc w:val="center"/>
        <w:rPr>
          <w:rFonts w:hint="default" w:ascii="方正小标宋简体" w:hAnsi="方正小标宋简体" w:eastAsia="方正小标宋简体" w:cs="方正小标宋简体"/>
          <w:b w:val="0"/>
          <w:bCs w:val="0"/>
          <w:color w:val="auto"/>
          <w:kern w:val="36"/>
          <w:sz w:val="44"/>
          <w:szCs w:val="44"/>
          <w:highlight w:val="none"/>
          <w:shd w:val="clear" w:color="auto" w:fill="auto"/>
          <w:lang w:val="en-US" w:eastAsia="zh-CN" w:bidi="ar-SA"/>
        </w:rPr>
      </w:pPr>
      <w:r>
        <w:rPr>
          <w:rFonts w:hint="default" w:ascii="方正小标宋简体" w:hAnsi="方正小标宋简体" w:eastAsia="方正小标宋简体" w:cs="方正小标宋简体"/>
          <w:b w:val="0"/>
          <w:bCs w:val="0"/>
          <w:sz w:val="44"/>
          <w:szCs w:val="44"/>
          <w:lang w:val="en-US" w:eastAsia="zh-CN"/>
        </w:rPr>
        <w:t>关于环保装备制造产业园1期资产并购项目资产评估报告编制服务</w:t>
      </w:r>
    </w:p>
    <w:p w14:paraId="1D8188D1">
      <w:pPr>
        <w:jc w:val="center"/>
        <w:rPr>
          <w:rFonts w:hint="default" w:ascii="仿宋" w:hAnsi="仿宋" w:eastAsia="仿宋" w:cs="仿宋"/>
          <w:color w:val="auto"/>
          <w:sz w:val="28"/>
          <w:szCs w:val="28"/>
          <w:highlight w:val="none"/>
          <w:shd w:val="clear" w:color="auto" w:fill="auto"/>
        </w:rPr>
      </w:pPr>
    </w:p>
    <w:p w14:paraId="721AC86A">
      <w:pPr>
        <w:rPr>
          <w:rFonts w:hint="default" w:ascii="仿宋" w:hAnsi="仿宋" w:eastAsia="仿宋" w:cs="仿宋"/>
          <w:color w:val="auto"/>
          <w:sz w:val="28"/>
          <w:szCs w:val="28"/>
          <w:highlight w:val="none"/>
          <w:shd w:val="clear" w:color="auto" w:fill="auto"/>
        </w:rPr>
      </w:pPr>
    </w:p>
    <w:p w14:paraId="0160AB65">
      <w:pPr>
        <w:jc w:val="center"/>
        <w:rPr>
          <w:rFonts w:hint="default" w:ascii="仿宋" w:hAnsi="仿宋" w:eastAsia="仿宋" w:cs="仿宋"/>
          <w:b/>
          <w:color w:val="auto"/>
          <w:sz w:val="72"/>
          <w:szCs w:val="72"/>
          <w:highlight w:val="none"/>
          <w:shd w:val="clear" w:color="auto" w:fill="auto"/>
        </w:rPr>
      </w:pPr>
      <w:r>
        <w:rPr>
          <w:rFonts w:hint="default" w:ascii="仿宋" w:hAnsi="仿宋" w:eastAsia="仿宋" w:cs="仿宋"/>
          <w:b/>
          <w:color w:val="auto"/>
          <w:sz w:val="72"/>
          <w:szCs w:val="72"/>
          <w:highlight w:val="none"/>
          <w:shd w:val="clear" w:color="auto" w:fill="auto"/>
          <w:lang w:val="en-US" w:eastAsia="zh-CN"/>
        </w:rPr>
        <w:t xml:space="preserve">比 选 </w:t>
      </w:r>
      <w:r>
        <w:rPr>
          <w:rFonts w:hint="default" w:ascii="仿宋" w:hAnsi="仿宋" w:eastAsia="仿宋" w:cs="仿宋"/>
          <w:b/>
          <w:color w:val="auto"/>
          <w:sz w:val="72"/>
          <w:szCs w:val="72"/>
          <w:highlight w:val="none"/>
          <w:shd w:val="clear" w:color="auto" w:fill="auto"/>
        </w:rPr>
        <w:t>文</w:t>
      </w:r>
      <w:r>
        <w:rPr>
          <w:rFonts w:hint="default" w:ascii="仿宋" w:hAnsi="仿宋" w:eastAsia="仿宋" w:cs="仿宋"/>
          <w:b/>
          <w:color w:val="auto"/>
          <w:sz w:val="72"/>
          <w:szCs w:val="72"/>
          <w:highlight w:val="none"/>
          <w:shd w:val="clear" w:color="auto" w:fill="auto"/>
          <w:lang w:val="en-US" w:eastAsia="zh-CN"/>
        </w:rPr>
        <w:t xml:space="preserve"> </w:t>
      </w:r>
      <w:r>
        <w:rPr>
          <w:rFonts w:hint="default" w:ascii="仿宋" w:hAnsi="仿宋" w:eastAsia="仿宋" w:cs="仿宋"/>
          <w:b/>
          <w:color w:val="auto"/>
          <w:sz w:val="72"/>
          <w:szCs w:val="72"/>
          <w:highlight w:val="none"/>
          <w:shd w:val="clear" w:color="auto" w:fill="auto"/>
        </w:rPr>
        <w:t>件</w:t>
      </w:r>
    </w:p>
    <w:p w14:paraId="1CBEA570">
      <w:pPr>
        <w:rPr>
          <w:rFonts w:hint="default" w:ascii="仿宋" w:hAnsi="仿宋" w:eastAsia="仿宋" w:cs="仿宋"/>
          <w:color w:val="auto"/>
          <w:sz w:val="28"/>
          <w:szCs w:val="28"/>
          <w:highlight w:val="none"/>
          <w:shd w:val="clear" w:color="auto" w:fill="auto"/>
        </w:rPr>
      </w:pPr>
    </w:p>
    <w:p w14:paraId="6CDB1D74">
      <w:pPr>
        <w:jc w:val="center"/>
        <w:rPr>
          <w:rFonts w:hint="default" w:ascii="仿宋" w:hAnsi="仿宋" w:eastAsia="仿宋" w:cs="仿宋"/>
          <w:color w:val="auto"/>
          <w:sz w:val="28"/>
          <w:szCs w:val="28"/>
          <w:highlight w:val="none"/>
          <w:shd w:val="clear" w:color="auto" w:fill="auto"/>
        </w:rPr>
      </w:pPr>
    </w:p>
    <w:p w14:paraId="74F4A1ED">
      <w:pPr>
        <w:pStyle w:val="20"/>
        <w:jc w:val="both"/>
        <w:rPr>
          <w:rFonts w:hint="default" w:ascii="仿宋" w:hAnsi="仿宋" w:eastAsia="仿宋" w:cs="仿宋"/>
          <w:color w:val="auto"/>
          <w:sz w:val="28"/>
          <w:szCs w:val="28"/>
          <w:highlight w:val="none"/>
          <w:shd w:val="clear" w:color="auto" w:fill="auto"/>
        </w:rPr>
      </w:pPr>
    </w:p>
    <w:p w14:paraId="080A0A33">
      <w:pPr>
        <w:jc w:val="center"/>
        <w:rPr>
          <w:rFonts w:hint="default" w:ascii="仿宋" w:hAnsi="仿宋" w:eastAsia="仿宋" w:cs="仿宋"/>
          <w:color w:val="auto"/>
          <w:sz w:val="28"/>
          <w:szCs w:val="28"/>
          <w:highlight w:val="none"/>
          <w:shd w:val="clear" w:color="auto" w:fill="auto"/>
        </w:rPr>
      </w:pPr>
    </w:p>
    <w:p w14:paraId="03AB06F4">
      <w:pPr>
        <w:jc w:val="center"/>
        <w:rPr>
          <w:rFonts w:hint="default" w:ascii="仿宋" w:hAnsi="仿宋" w:eastAsia="仿宋" w:cs="仿宋"/>
          <w:color w:val="auto"/>
          <w:sz w:val="28"/>
          <w:szCs w:val="28"/>
          <w:highlight w:val="none"/>
          <w:shd w:val="clear" w:color="auto" w:fill="auto"/>
        </w:rPr>
      </w:pPr>
    </w:p>
    <w:p w14:paraId="26B645ED">
      <w:pPr>
        <w:spacing w:line="360" w:lineRule="auto"/>
        <w:jc w:val="center"/>
        <w:rPr>
          <w:rFonts w:hint="default" w:ascii="仿宋" w:hAnsi="仿宋" w:eastAsia="仿宋" w:cs="仿宋"/>
          <w:b/>
          <w:bCs/>
          <w:caps/>
          <w:color w:val="auto"/>
          <w:sz w:val="36"/>
          <w:szCs w:val="36"/>
          <w:highlight w:val="none"/>
          <w:shd w:val="clear" w:color="auto" w:fill="auto"/>
          <w:lang w:eastAsia="zh-CN"/>
        </w:rPr>
      </w:pPr>
      <w:r>
        <w:rPr>
          <w:rFonts w:hint="default" w:ascii="仿宋" w:hAnsi="仿宋" w:eastAsia="仿宋" w:cs="仿宋"/>
          <w:b/>
          <w:bCs/>
          <w:caps/>
          <w:color w:val="auto"/>
          <w:sz w:val="36"/>
          <w:szCs w:val="36"/>
          <w:highlight w:val="none"/>
          <w:shd w:val="clear" w:color="auto" w:fill="auto"/>
          <w:lang w:val="en-US" w:eastAsia="zh-CN"/>
        </w:rPr>
        <w:t>比选单位</w:t>
      </w:r>
      <w:r>
        <w:rPr>
          <w:rFonts w:hint="default" w:ascii="仿宋" w:hAnsi="仿宋" w:eastAsia="仿宋" w:cs="仿宋"/>
          <w:b/>
          <w:bCs/>
          <w:caps/>
          <w:color w:val="auto"/>
          <w:sz w:val="36"/>
          <w:szCs w:val="36"/>
          <w:highlight w:val="none"/>
          <w:shd w:val="clear" w:color="auto" w:fill="auto"/>
        </w:rPr>
        <w:t>：</w:t>
      </w:r>
      <w:r>
        <w:rPr>
          <w:rFonts w:hint="default" w:ascii="仿宋" w:hAnsi="仿宋" w:eastAsia="仿宋" w:cs="仿宋"/>
          <w:b/>
          <w:bCs/>
          <w:sz w:val="36"/>
          <w:szCs w:val="36"/>
        </w:rPr>
        <w:t>许昌市城投发展集团有限公司</w:t>
      </w:r>
    </w:p>
    <w:p w14:paraId="4471DE96">
      <w:pPr>
        <w:spacing w:line="360" w:lineRule="auto"/>
        <w:jc w:val="center"/>
        <w:rPr>
          <w:rFonts w:hint="default" w:ascii="仿宋" w:hAnsi="仿宋" w:eastAsia="仿宋" w:cs="仿宋"/>
          <w:b/>
          <w:color w:val="auto"/>
          <w:sz w:val="36"/>
          <w:szCs w:val="36"/>
          <w:highlight w:val="none"/>
          <w:shd w:val="clear" w:color="auto" w:fill="auto"/>
        </w:rPr>
      </w:pPr>
    </w:p>
    <w:p w14:paraId="31266322">
      <w:pPr>
        <w:spacing w:line="360" w:lineRule="auto"/>
        <w:jc w:val="center"/>
        <w:rPr>
          <w:rFonts w:hint="default" w:ascii="仿宋" w:hAnsi="仿宋" w:eastAsia="仿宋" w:cs="仿宋"/>
          <w:color w:val="auto"/>
          <w:sz w:val="36"/>
          <w:szCs w:val="36"/>
          <w:highlight w:val="none"/>
          <w:shd w:val="clear" w:color="auto" w:fill="auto"/>
        </w:rPr>
      </w:pPr>
      <w:r>
        <w:rPr>
          <w:rFonts w:hint="default" w:ascii="仿宋" w:hAnsi="仿宋" w:eastAsia="仿宋" w:cs="仿宋"/>
          <w:b/>
          <w:color w:val="auto"/>
          <w:sz w:val="36"/>
          <w:szCs w:val="36"/>
          <w:highlight w:val="none"/>
          <w:shd w:val="clear" w:color="auto" w:fill="auto"/>
        </w:rPr>
        <w:t>二〇二</w:t>
      </w:r>
      <w:r>
        <w:rPr>
          <w:rFonts w:hint="default" w:ascii="仿宋" w:hAnsi="仿宋" w:eastAsia="仿宋" w:cs="仿宋"/>
          <w:b/>
          <w:color w:val="auto"/>
          <w:sz w:val="36"/>
          <w:szCs w:val="36"/>
          <w:highlight w:val="none"/>
          <w:shd w:val="clear" w:color="auto" w:fill="auto"/>
          <w:lang w:val="en-US" w:eastAsia="zh-CN"/>
        </w:rPr>
        <w:t>五</w:t>
      </w:r>
      <w:r>
        <w:rPr>
          <w:rFonts w:hint="default" w:ascii="仿宋" w:hAnsi="仿宋" w:eastAsia="仿宋" w:cs="仿宋"/>
          <w:b/>
          <w:color w:val="auto"/>
          <w:sz w:val="36"/>
          <w:szCs w:val="36"/>
          <w:highlight w:val="none"/>
          <w:shd w:val="clear" w:color="auto" w:fill="auto"/>
        </w:rPr>
        <w:t>年</w:t>
      </w:r>
      <w:r>
        <w:rPr>
          <w:rFonts w:hint="default" w:ascii="仿宋" w:hAnsi="仿宋" w:eastAsia="仿宋" w:cs="仿宋"/>
          <w:b/>
          <w:color w:val="auto"/>
          <w:sz w:val="36"/>
          <w:szCs w:val="36"/>
          <w:highlight w:val="none"/>
          <w:shd w:val="clear" w:color="auto" w:fill="auto"/>
          <w:lang w:val="en-US" w:eastAsia="zh-CN"/>
        </w:rPr>
        <w:t>八</w:t>
      </w:r>
      <w:r>
        <w:rPr>
          <w:rFonts w:hint="default" w:ascii="仿宋" w:hAnsi="仿宋" w:eastAsia="仿宋" w:cs="仿宋"/>
          <w:b/>
          <w:color w:val="auto"/>
          <w:sz w:val="36"/>
          <w:szCs w:val="36"/>
          <w:highlight w:val="none"/>
          <w:shd w:val="clear" w:color="auto" w:fill="auto"/>
        </w:rPr>
        <w:t>月</w:t>
      </w:r>
    </w:p>
    <w:p w14:paraId="50188DF3">
      <w:pPr>
        <w:pStyle w:val="15"/>
        <w:ind w:firstLine="0" w:firstLineChars="0"/>
        <w:rPr>
          <w:rFonts w:hint="default" w:ascii="仿宋" w:hAnsi="仿宋" w:eastAsia="仿宋" w:cs="仿宋"/>
          <w:color w:val="auto"/>
          <w:sz w:val="24"/>
          <w:szCs w:val="24"/>
          <w:highlight w:val="none"/>
          <w:shd w:val="clear" w:color="auto" w:fill="auto"/>
        </w:rPr>
      </w:pPr>
    </w:p>
    <w:p w14:paraId="1B5259E8">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605DEF4">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0D9BBA2A">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2082F0A4">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28FA71F">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38517EFF">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39EC1DD8">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5EA88077">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2ACFDEF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554DA306">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许昌市城投发展集团有限公司</w:t>
      </w:r>
      <w:r>
        <w:rPr>
          <w:rFonts w:hint="default" w:ascii="Times New Roman" w:hAnsi="Times New Roman" w:eastAsia="仿宋_GB2312" w:cs="Times New Roman"/>
          <w:sz w:val="32"/>
          <w:szCs w:val="32"/>
          <w:lang w:val="en-US" w:eastAsia="zh-CN"/>
        </w:rPr>
        <w:t>（以下简称“比选人”）拟通过比选的方式选取资产评估机构对环保装备制造产业园1期项目</w:t>
      </w:r>
      <w:r>
        <w:rPr>
          <w:rFonts w:hint="default" w:ascii="Times New Roman" w:hAnsi="Times New Roman" w:eastAsia="仿宋_GB2312" w:cs="Times New Roman"/>
          <w:color w:val="auto"/>
          <w:sz w:val="32"/>
          <w:szCs w:val="32"/>
          <w:lang w:val="en-US" w:eastAsia="zh-CN"/>
        </w:rPr>
        <w:t>资产进行</w:t>
      </w:r>
      <w:r>
        <w:rPr>
          <w:rFonts w:hint="default" w:ascii="Times New Roman" w:hAnsi="Times New Roman" w:eastAsia="仿宋_GB2312" w:cs="Times New Roman"/>
          <w:sz w:val="32"/>
          <w:szCs w:val="32"/>
          <w:lang w:val="en-US" w:eastAsia="zh-CN"/>
        </w:rPr>
        <w:t>评估，并出具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资产评估</w:t>
      </w:r>
      <w:r>
        <w:rPr>
          <w:rFonts w:hint="default" w:ascii="Times New Roman" w:hAnsi="Times New Roman" w:eastAsia="仿宋_GB2312" w:cs="Times New Roman"/>
          <w:sz w:val="32"/>
          <w:szCs w:val="32"/>
        </w:rPr>
        <w:t>报告》</w:t>
      </w:r>
      <w:r>
        <w:rPr>
          <w:rFonts w:hint="default" w:ascii="Times New Roman" w:hAnsi="Times New Roman" w:eastAsia="仿宋_GB2312" w:cs="Times New Roman"/>
          <w:sz w:val="32"/>
          <w:szCs w:val="32"/>
          <w:lang w:eastAsia="zh-CN"/>
        </w:rPr>
        <w:t>。</w:t>
      </w:r>
    </w:p>
    <w:p w14:paraId="7C394F98">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29EA29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1EB49516">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rPr>
        <w:t>环保装备制造产业园1期资产并购项目</w:t>
      </w:r>
      <w:r>
        <w:rPr>
          <w:rFonts w:hint="default" w:ascii="Times New Roman" w:hAnsi="Times New Roman" w:eastAsia="仿宋_GB2312" w:cs="Times New Roman"/>
          <w:sz w:val="32"/>
          <w:szCs w:val="32"/>
          <w:lang w:eastAsia="zh-CN"/>
        </w:rPr>
        <w:t>资产评估</w:t>
      </w:r>
      <w:r>
        <w:rPr>
          <w:rFonts w:hint="default" w:ascii="Times New Roman" w:hAnsi="Times New Roman" w:eastAsia="仿宋_GB2312" w:cs="Times New Roman"/>
          <w:sz w:val="32"/>
          <w:szCs w:val="32"/>
        </w:rPr>
        <w:t>报告编制服务单位比选</w:t>
      </w:r>
      <w:r>
        <w:rPr>
          <w:rFonts w:hint="default" w:ascii="Times New Roman" w:hAnsi="Times New Roman" w:eastAsia="仿宋_GB2312" w:cs="Times New Roman"/>
          <w:sz w:val="32"/>
          <w:szCs w:val="32"/>
          <w:lang w:val="en-US" w:eastAsia="zh-CN"/>
        </w:rPr>
        <w:t>项目。</w:t>
      </w:r>
    </w:p>
    <w:p w14:paraId="557670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rPr>
        <w:t>许昌市城投发展集团有限公司</w:t>
      </w:r>
    </w:p>
    <w:p w14:paraId="394D1469">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服务内容</w:t>
      </w:r>
    </w:p>
    <w:p w14:paraId="50B3F7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在本次报告编制过程中，</w:t>
      </w:r>
      <w:r>
        <w:rPr>
          <w:rFonts w:hint="default" w:ascii="Times New Roman" w:hAnsi="Times New Roman" w:eastAsia="仿宋_GB2312" w:cs="Times New Roman"/>
          <w:color w:val="auto"/>
          <w:sz w:val="32"/>
          <w:szCs w:val="32"/>
          <w:lang w:eastAsia="zh-CN"/>
        </w:rPr>
        <w:t>配合“比选人”完成相关数据审查整理工作，</w:t>
      </w:r>
      <w:r>
        <w:rPr>
          <w:rFonts w:hint="default" w:ascii="Times New Roman" w:hAnsi="Times New Roman" w:eastAsia="仿宋_GB2312" w:cs="Times New Roman"/>
          <w:color w:val="auto"/>
          <w:sz w:val="32"/>
          <w:szCs w:val="32"/>
          <w:lang w:val="en-US" w:eastAsia="zh-CN"/>
        </w:rPr>
        <w:t>出具《资产评估报告》</w:t>
      </w:r>
      <w:r>
        <w:rPr>
          <w:rFonts w:hint="default" w:ascii="Times New Roman" w:hAnsi="Times New Roman" w:eastAsia="仿宋_GB2312" w:cs="Times New Roman"/>
          <w:color w:val="auto"/>
          <w:sz w:val="32"/>
          <w:szCs w:val="32"/>
          <w:lang w:eastAsia="zh-CN"/>
        </w:rPr>
        <w:t>；</w:t>
      </w:r>
    </w:p>
    <w:p w14:paraId="289A93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084CD8C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2EA854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6BEC67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i w:val="0"/>
          <w:caps w:val="0"/>
          <w:color w:val="auto"/>
          <w:spacing w:val="0"/>
          <w:kern w:val="0"/>
          <w:sz w:val="32"/>
          <w:szCs w:val="32"/>
          <w:lang w:val="en-US" w:eastAsia="zh-CN" w:bidi="ar"/>
        </w:rPr>
        <w:t>在中华人民共和国境内注册，持有合法有效的企业法人营业执照，具有</w:t>
      </w:r>
      <w:r>
        <w:rPr>
          <w:rFonts w:hint="default" w:eastAsia="仿宋_GB2312" w:cs="Times New Roman"/>
          <w:i w:val="0"/>
          <w:caps w:val="0"/>
          <w:color w:val="auto"/>
          <w:spacing w:val="0"/>
          <w:kern w:val="0"/>
          <w:sz w:val="32"/>
          <w:szCs w:val="32"/>
          <w:lang w:val="en-US" w:eastAsia="zh-CN" w:bidi="ar"/>
        </w:rPr>
        <w:t>资产评估</w:t>
      </w:r>
      <w:r>
        <w:rPr>
          <w:rFonts w:hint="default" w:ascii="Times New Roman" w:hAnsi="Times New Roman" w:eastAsia="仿宋_GB2312" w:cs="Times New Roman"/>
          <w:i w:val="0"/>
          <w:caps w:val="0"/>
          <w:color w:val="auto"/>
          <w:spacing w:val="0"/>
          <w:kern w:val="0"/>
          <w:sz w:val="32"/>
          <w:szCs w:val="32"/>
          <w:lang w:val="en-US" w:eastAsia="zh-CN" w:bidi="ar"/>
        </w:rPr>
        <w:t>单位资信资质的机构或分支机构（分支机构投标的需要提供总机构（公司）对该分支机构的授权委托书）</w:t>
      </w:r>
      <w:r>
        <w:rPr>
          <w:rFonts w:hint="default" w:ascii="Times New Roman" w:hAnsi="Times New Roman" w:eastAsia="仿宋_GB2312" w:cs="Times New Roman"/>
          <w:sz w:val="32"/>
          <w:szCs w:val="32"/>
          <w:lang w:val="zh-CN"/>
        </w:rPr>
        <w:t>；</w:t>
      </w:r>
    </w:p>
    <w:p w14:paraId="071AF3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具备出具并购类《资产评估报告》的成功经验；</w:t>
      </w:r>
    </w:p>
    <w:p w14:paraId="3E9542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比选申请人近三年未因重大的执业质量等问题受到通报、处罚，没有处于破产、被责令停业或存在其他违法行为；</w:t>
      </w:r>
    </w:p>
    <w:p w14:paraId="677BFA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0EDE5B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342E3F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311826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0D404F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下</w:t>
      </w:r>
      <w:r>
        <w:rPr>
          <w:rFonts w:hint="default" w:ascii="Times New Roman" w:hAnsi="Times New Roman" w:eastAsia="仿宋_GB2312" w:cs="Times New Roman"/>
          <w:color w:val="auto"/>
          <w:sz w:val="32"/>
          <w:szCs w:val="32"/>
          <w:highlight w:val="none"/>
        </w:rPr>
        <w:t>午</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点前将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w:t>
      </w:r>
      <w:r>
        <w:rPr>
          <w:rFonts w:hint="default" w:ascii="Times New Roman" w:hAnsi="Times New Roman" w:eastAsia="仿宋_GB2312" w:cs="Times New Roman"/>
          <w:color w:val="auto"/>
          <w:sz w:val="32"/>
          <w:szCs w:val="32"/>
          <w:highlight w:val="none"/>
          <w:lang w:eastAsia="zh-CN"/>
        </w:rPr>
        <w:t>送达（邮寄）</w:t>
      </w:r>
      <w:r>
        <w:rPr>
          <w:rFonts w:hint="default" w:ascii="Times New Roman" w:hAnsi="Times New Roman" w:eastAsia="仿宋_GB2312" w:cs="Times New Roman"/>
          <w:color w:val="auto"/>
          <w:sz w:val="32"/>
          <w:szCs w:val="32"/>
          <w:highlight w:val="none"/>
        </w:rPr>
        <w:t>至：许昌市建安大道东段财政综合楼（81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室）。</w:t>
      </w:r>
    </w:p>
    <w:p w14:paraId="31A9BE4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3BB1B3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492789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r>
        <w:rPr>
          <w:rFonts w:hint="eastAsia" w:ascii="Times New Roman" w:hAnsi="Times New Roman" w:eastAsia="仿宋_GB2312" w:cs="Times New Roman"/>
          <w:sz w:val="32"/>
          <w:szCs w:val="32"/>
          <w:lang w:eastAsia="zh-CN"/>
        </w:rPr>
        <w:t>；</w:t>
      </w:r>
    </w:p>
    <w:p w14:paraId="43C836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2C56FB6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75063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4FA3DA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资产评估机构</w:t>
      </w:r>
      <w:r>
        <w:rPr>
          <w:rFonts w:hint="eastAsia" w:ascii="Times New Roman" w:hAnsi="Times New Roman" w:eastAsia="仿宋_GB2312" w:cs="Times New Roman"/>
          <w:sz w:val="32"/>
          <w:szCs w:val="32"/>
          <w:lang w:val="en-US" w:eastAsia="zh-CN"/>
        </w:rPr>
        <w:t>；</w:t>
      </w:r>
    </w:p>
    <w:p w14:paraId="7E6D13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人有权拒绝接收。</w:t>
      </w:r>
    </w:p>
    <w:p w14:paraId="19D1DF6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03F156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控制价为11.71万元。</w:t>
      </w:r>
    </w:p>
    <w:p w14:paraId="628715D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380FA4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十、联系方式</w:t>
      </w:r>
    </w:p>
    <w:p w14:paraId="77309F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rPr>
        <w:t>许昌市城投发展集团有限公司</w:t>
      </w:r>
    </w:p>
    <w:p w14:paraId="4D6D8867">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30D33D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398A9D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065BE18F">
      <w:pPr>
        <w:snapToGrid w:val="0"/>
        <w:spacing w:line="520" w:lineRule="exact"/>
        <w:ind w:firstLine="640" w:firstLineChars="200"/>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12C6D1BB">
      <w:pPr>
        <w:pStyle w:val="15"/>
        <w:rPr>
          <w:rFonts w:hint="default" w:ascii="Times New Roman" w:hAnsi="Times New Roman" w:eastAsia="仿宋" w:cs="Times New Roman"/>
          <w:b/>
          <w:bCs/>
          <w:color w:val="auto"/>
          <w:sz w:val="24"/>
          <w:szCs w:val="24"/>
        </w:rPr>
      </w:pPr>
    </w:p>
    <w:p w14:paraId="1EE39F7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7EE63D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5532D6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在本次报告编制过程中，</w:t>
      </w:r>
      <w:r>
        <w:rPr>
          <w:rFonts w:hint="default" w:ascii="Times New Roman" w:hAnsi="Times New Roman" w:eastAsia="仿宋_GB2312" w:cs="Times New Roman"/>
          <w:color w:val="auto"/>
          <w:sz w:val="32"/>
          <w:szCs w:val="32"/>
          <w:lang w:eastAsia="zh-CN"/>
        </w:rPr>
        <w:t>配合“比选人”完成相关数据审查整理工作，</w:t>
      </w:r>
      <w:r>
        <w:rPr>
          <w:rFonts w:hint="default" w:ascii="Times New Roman" w:hAnsi="Times New Roman" w:eastAsia="仿宋_GB2312" w:cs="Times New Roman"/>
          <w:color w:val="auto"/>
          <w:sz w:val="32"/>
          <w:szCs w:val="32"/>
          <w:lang w:val="en-US" w:eastAsia="zh-CN"/>
        </w:rPr>
        <w:t>出具《资产评估报告》</w:t>
      </w:r>
      <w:r>
        <w:rPr>
          <w:rFonts w:hint="eastAsia" w:ascii="Times New Roman" w:hAnsi="Times New Roman" w:eastAsia="仿宋_GB2312" w:cs="Times New Roman"/>
          <w:color w:val="auto"/>
          <w:sz w:val="32"/>
          <w:szCs w:val="32"/>
          <w:lang w:val="en-US" w:eastAsia="zh-CN"/>
        </w:rPr>
        <w:t>；</w:t>
      </w:r>
    </w:p>
    <w:p w14:paraId="5C85A4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7F8CAF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4CE52E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5F76F8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中标人起十天内出具资产评估报告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4993F4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0882FC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招标人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1D58A4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7D6FC2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符合项目金融机构要求的资产评估报告</w:t>
      </w:r>
      <w:r>
        <w:rPr>
          <w:rFonts w:hint="default" w:ascii="Times New Roman" w:hAnsi="Times New Roman" w:eastAsia="仿宋_GB2312" w:cs="Times New Roman"/>
          <w:sz w:val="32"/>
          <w:szCs w:val="32"/>
          <w:lang w:eastAsia="zh-CN"/>
        </w:rPr>
        <w:t>。</w:t>
      </w:r>
    </w:p>
    <w:p w14:paraId="6E1413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w:t>
      </w:r>
      <w:r>
        <w:rPr>
          <w:rFonts w:hint="default" w:ascii="Times New Roman" w:hAnsi="Times New Roman" w:eastAsia="仿宋_GB2312" w:cs="Times New Roman"/>
          <w:color w:val="auto"/>
          <w:sz w:val="32"/>
          <w:szCs w:val="32"/>
          <w:highlight w:val="none"/>
          <w:lang w:val="en-US" w:eastAsia="zh-CN"/>
        </w:rPr>
        <w:t>比选控制价</w:t>
      </w:r>
      <w:r>
        <w:rPr>
          <w:rFonts w:hint="default" w:ascii="Times New Roman" w:hAnsi="Times New Roman" w:eastAsia="仿宋_GB2312" w:cs="Times New Roman"/>
          <w:color w:val="auto"/>
          <w:sz w:val="32"/>
          <w:szCs w:val="32"/>
          <w:highlight w:val="none"/>
          <w:lang w:val="zh-CN" w:eastAsia="zh-CN"/>
        </w:rPr>
        <w:t>为</w:t>
      </w:r>
      <w:r>
        <w:rPr>
          <w:rFonts w:hint="default" w:ascii="Times New Roman" w:hAnsi="Times New Roman" w:eastAsia="仿宋_GB2312" w:cs="Times New Roman"/>
          <w:color w:val="auto"/>
          <w:sz w:val="32"/>
          <w:szCs w:val="32"/>
          <w:highlight w:val="none"/>
          <w:lang w:val="en-US" w:eastAsia="zh-CN"/>
        </w:rPr>
        <w:t>11.71万元</w:t>
      </w:r>
      <w:r>
        <w:rPr>
          <w:rFonts w:hint="default" w:ascii="Times New Roman" w:hAnsi="Times New Roman" w:eastAsia="仿宋_GB2312" w:cs="Times New Roman"/>
          <w:color w:val="auto"/>
          <w:sz w:val="32"/>
          <w:szCs w:val="32"/>
          <w:highlight w:val="none"/>
          <w:lang w:val="zh-CN" w:eastAsia="zh-CN"/>
        </w:rPr>
        <w:t>，超</w:t>
      </w:r>
      <w:r>
        <w:rPr>
          <w:rFonts w:hint="default" w:ascii="Times New Roman" w:hAnsi="Times New Roman" w:eastAsia="仿宋_GB2312" w:cs="Times New Roman"/>
          <w:sz w:val="32"/>
          <w:szCs w:val="32"/>
          <w:highlight w:val="none"/>
          <w:lang w:val="zh-CN" w:eastAsia="zh-CN"/>
        </w:rPr>
        <w:t>出最高限价的投标无效</w:t>
      </w:r>
      <w:r>
        <w:rPr>
          <w:rFonts w:hint="default" w:ascii="Times New Roman" w:hAnsi="Times New Roman" w:eastAsia="仿宋_GB2312" w:cs="Times New Roman"/>
          <w:sz w:val="32"/>
          <w:szCs w:val="32"/>
          <w:lang w:val="zh-CN" w:eastAsia="zh-CN"/>
        </w:rPr>
        <w:t>。</w:t>
      </w:r>
    </w:p>
    <w:p w14:paraId="74D661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49F79D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7E3C87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w:t>
      </w:r>
      <w:r>
        <w:rPr>
          <w:rFonts w:hint="default" w:ascii="Times New Roman" w:hAnsi="Times New Roman" w:eastAsia="仿宋_GB2312" w:cs="Times New Roman"/>
          <w:color w:val="auto"/>
          <w:sz w:val="32"/>
          <w:szCs w:val="32"/>
          <w:lang w:val="zh-CN" w:eastAsia="zh-TW"/>
        </w:rPr>
        <w:t>根据签订的</w:t>
      </w:r>
      <w:r>
        <w:rPr>
          <w:rFonts w:hint="default" w:ascii="Times New Roman" w:hAnsi="Times New Roman" w:eastAsia="仿宋_GB2312" w:cs="Times New Roman"/>
          <w:color w:val="auto"/>
          <w:sz w:val="32"/>
          <w:szCs w:val="32"/>
          <w:lang w:val="en-US" w:eastAsia="zh-CN"/>
        </w:rPr>
        <w:t>相关合同约定执行（本次合同签约主体为比选人子公司）。</w:t>
      </w:r>
    </w:p>
    <w:p w14:paraId="5EBE89AE">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9C2BDCA">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3B281BA">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7"/>
        <w:tblW w:w="9887" w:type="dxa"/>
        <w:jc w:val="center"/>
        <w:tblLayout w:type="fixed"/>
        <w:tblCellMar>
          <w:top w:w="0" w:type="dxa"/>
          <w:left w:w="108" w:type="dxa"/>
          <w:bottom w:w="0" w:type="dxa"/>
          <w:right w:w="108" w:type="dxa"/>
        </w:tblCellMar>
      </w:tblPr>
      <w:tblGrid>
        <w:gridCol w:w="753"/>
        <w:gridCol w:w="1986"/>
        <w:gridCol w:w="7148"/>
      </w:tblGrid>
      <w:tr w14:paraId="722688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87F28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5D70C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25405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197D587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5E088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6683D">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05C1F5">
            <w:pPr>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环保装备制造产业园1期资产并购项目资产评估报告编制服务单位比选项目。</w:t>
            </w:r>
          </w:p>
          <w:p w14:paraId="061D6517">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为比选人出具资产评估报告，并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资产评估报告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4BEA8F0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0F10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F0FAE">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61B1E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许昌市城投发展集团有限公司</w:t>
            </w:r>
            <w:r>
              <w:rPr>
                <w:rFonts w:hint="default" w:ascii="Times New Roman" w:hAnsi="Times New Roman" w:eastAsia="仿宋" w:cs="Times New Roman"/>
                <w:color w:val="auto"/>
                <w:sz w:val="24"/>
                <w:szCs w:val="24"/>
                <w:highlight w:val="none"/>
                <w:shd w:val="clear" w:color="auto" w:fill="FFFFFF"/>
              </w:rPr>
              <w:t xml:space="preserve"> </w:t>
            </w:r>
          </w:p>
          <w:p w14:paraId="20A02F8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34D4A89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441732BE">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3D0A993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38F118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EE44EF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0C56E">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241EFBB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2521C06F">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1、在中华人民共和国境内注册，持有合法有效的企业法人营业执照，具有</w:t>
            </w:r>
            <w:r>
              <w:rPr>
                <w:rFonts w:hint="default" w:ascii="Times New Roman" w:hAnsi="Times New Roman" w:eastAsia="仿宋" w:cs="Times New Roman"/>
                <w:bCs/>
                <w:color w:val="auto"/>
                <w:sz w:val="24"/>
                <w:szCs w:val="24"/>
                <w:highlight w:val="none"/>
                <w:lang w:val="en-US" w:eastAsia="zh-CN"/>
              </w:rPr>
              <w:t>资产评估</w:t>
            </w:r>
            <w:r>
              <w:rPr>
                <w:rFonts w:hint="default" w:ascii="Times New Roman" w:hAnsi="Times New Roman" w:eastAsia="仿宋" w:cs="Times New Roman"/>
                <w:bCs/>
                <w:color w:val="auto"/>
                <w:sz w:val="24"/>
                <w:szCs w:val="24"/>
                <w:highlight w:val="none"/>
                <w:lang w:val="zh-CN"/>
              </w:rPr>
              <w:t>单位资信资质的机构或分支机构（分支机构投标的需要提供总机构（公司）对该分支机构的授权委托书）；</w:t>
            </w:r>
          </w:p>
          <w:p w14:paraId="6B290A4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2、具备资产评估编制的成功经验；</w:t>
            </w:r>
          </w:p>
          <w:p w14:paraId="39A9193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7BCA8C46">
            <w:pPr>
              <w:autoSpaceDE w:val="0"/>
              <w:autoSpaceDN w:val="0"/>
              <w:adjustRightInd w:val="0"/>
              <w:spacing w:line="540" w:lineRule="exact"/>
              <w:ind w:right="-11"/>
              <w:rPr>
                <w:rFonts w:hint="default"/>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6594F5E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C0E63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F178E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82CA16">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73222B4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AE3E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9409F0">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资产评估编制</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B3B96D">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w:t>
            </w:r>
            <w:r>
              <w:rPr>
                <w:rFonts w:hint="default" w:ascii="Times New Roman" w:hAnsi="Times New Roman" w:eastAsia="仿宋" w:cs="Times New Roman"/>
                <w:color w:val="auto"/>
                <w:sz w:val="24"/>
                <w:szCs w:val="24"/>
                <w:highlight w:val="none"/>
                <w:lang w:val="en-US" w:eastAsia="zh-CN"/>
              </w:rPr>
              <w:t>比选控制价11.71万元</w:t>
            </w:r>
            <w:r>
              <w:rPr>
                <w:rFonts w:hint="default" w:ascii="Times New Roman" w:hAnsi="Times New Roman" w:eastAsia="仿宋" w:cs="Times New Roman"/>
                <w:color w:val="auto"/>
                <w:sz w:val="24"/>
                <w:szCs w:val="24"/>
                <w:highlight w:val="none"/>
                <w:lang w:val="zh-CN" w:eastAsia="zh-CN"/>
              </w:rPr>
              <w:t>，超出最高限价的投标无效。</w:t>
            </w:r>
          </w:p>
          <w:p w14:paraId="0B90F838">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0253ED9A">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56FEC44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693C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E4D777">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D89B06">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153702A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48365EE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8A2321">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7B021E">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A1A6EA">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7475356A">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05EDF2F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7F31DE">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A89FC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9530E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2D70090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36FFC6A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BC13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F3B2B8">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DDF595">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4C14A5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D0D72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CBA02D">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9C15DE">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 w:cs="Times New Roman"/>
                <w:bCs/>
                <w:color w:val="auto"/>
                <w:sz w:val="24"/>
                <w:szCs w:val="24"/>
                <w:highlight w:val="none"/>
                <w:lang w:val="zh-CN"/>
              </w:rPr>
              <w:t>2025年8月11日下午6点。</w:t>
            </w:r>
          </w:p>
        </w:tc>
      </w:tr>
      <w:tr w14:paraId="170FC4D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B43E6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33B3C4">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0089C2">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color w:val="auto"/>
                <w:sz w:val="24"/>
                <w:szCs w:val="24"/>
                <w:lang w:val="zh-CN"/>
              </w:rPr>
              <w:t>。</w:t>
            </w:r>
          </w:p>
        </w:tc>
      </w:tr>
      <w:tr w14:paraId="649184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7F95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EA272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48F0B7">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1463B2A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461A7">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6C7A6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5DE0EC">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7BDF97C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83A68C">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E142B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082950">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631CAE70">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4F5E3D5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226C4">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9F1FF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D05D92">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641178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1F5CFE">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68B9B2">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E44FF6">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1BD11BE4">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111024D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3D342F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03F6E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7D4887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5F921D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78A07B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63991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35C6A9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5907044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6341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48C84F2B">
            <w:pPr>
              <w:tabs>
                <w:tab w:val="left" w:pos="622"/>
              </w:tabs>
              <w:jc w:val="center"/>
              <w:rPr>
                <w:rFonts w:hint="default" w:ascii="Times New Roman" w:hAnsi="Times New Roman"/>
                <w:b/>
                <w:sz w:val="30"/>
                <w:szCs w:val="30"/>
              </w:rPr>
            </w:pPr>
            <w:r>
              <w:rPr>
                <w:rFonts w:hint="default" w:ascii="Times New Roman" w:hAnsi="Times New Roman"/>
                <w:b/>
                <w:sz w:val="30"/>
                <w:szCs w:val="30"/>
              </w:rPr>
              <w:t>评分项目</w:t>
            </w:r>
          </w:p>
        </w:tc>
        <w:tc>
          <w:tcPr>
            <w:tcW w:w="1353" w:type="dxa"/>
            <w:noWrap w:val="0"/>
            <w:vAlign w:val="center"/>
          </w:tcPr>
          <w:p w14:paraId="1DBA1DC8">
            <w:pPr>
              <w:tabs>
                <w:tab w:val="left" w:pos="622"/>
              </w:tabs>
              <w:jc w:val="center"/>
              <w:rPr>
                <w:rFonts w:hint="default" w:ascii="Times New Roman" w:hAnsi="Times New Roman"/>
                <w:b/>
                <w:sz w:val="30"/>
                <w:szCs w:val="30"/>
              </w:rPr>
            </w:pPr>
            <w:r>
              <w:rPr>
                <w:rFonts w:hint="default" w:ascii="Times New Roman" w:hAnsi="Times New Roman"/>
                <w:b/>
                <w:sz w:val="30"/>
                <w:szCs w:val="30"/>
              </w:rPr>
              <w:t>分值</w:t>
            </w:r>
          </w:p>
        </w:tc>
        <w:tc>
          <w:tcPr>
            <w:tcW w:w="4004" w:type="dxa"/>
            <w:noWrap w:val="0"/>
            <w:vAlign w:val="center"/>
          </w:tcPr>
          <w:p w14:paraId="71A5C2EC">
            <w:pPr>
              <w:tabs>
                <w:tab w:val="left" w:pos="622"/>
              </w:tabs>
              <w:jc w:val="center"/>
              <w:rPr>
                <w:rFonts w:hint="default" w:ascii="Times New Roman" w:hAnsi="Times New Roman"/>
                <w:b/>
                <w:sz w:val="30"/>
                <w:szCs w:val="30"/>
              </w:rPr>
            </w:pPr>
            <w:r>
              <w:rPr>
                <w:rFonts w:hint="default" w:ascii="Times New Roman" w:hAnsi="Times New Roman"/>
                <w:b/>
                <w:sz w:val="30"/>
                <w:szCs w:val="30"/>
              </w:rPr>
              <w:t>评分标准</w:t>
            </w:r>
          </w:p>
        </w:tc>
        <w:tc>
          <w:tcPr>
            <w:tcW w:w="1575" w:type="dxa"/>
            <w:noWrap w:val="0"/>
            <w:vAlign w:val="center"/>
          </w:tcPr>
          <w:p w14:paraId="1B0E769C">
            <w:pPr>
              <w:tabs>
                <w:tab w:val="left" w:pos="622"/>
              </w:tabs>
              <w:jc w:val="center"/>
              <w:rPr>
                <w:rFonts w:hint="default" w:ascii="Times New Roman" w:hAnsi="Times New Roman"/>
                <w:b/>
                <w:sz w:val="30"/>
                <w:szCs w:val="30"/>
              </w:rPr>
            </w:pPr>
            <w:r>
              <w:rPr>
                <w:rFonts w:hint="default" w:ascii="Times New Roman" w:hAnsi="Times New Roman"/>
                <w:b/>
                <w:sz w:val="30"/>
                <w:szCs w:val="30"/>
              </w:rPr>
              <w:t>得分</w:t>
            </w:r>
          </w:p>
        </w:tc>
      </w:tr>
      <w:tr w14:paraId="7080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5B3E66D5">
            <w:pPr>
              <w:tabs>
                <w:tab w:val="left" w:pos="622"/>
              </w:tabs>
              <w:spacing w:line="440" w:lineRule="exact"/>
              <w:jc w:val="center"/>
              <w:rPr>
                <w:rFonts w:hint="default" w:ascii="Times New Roman" w:hAnsi="Times New Roman"/>
                <w:b/>
                <w:sz w:val="28"/>
                <w:szCs w:val="28"/>
              </w:rPr>
            </w:pPr>
            <w:r>
              <w:rPr>
                <w:rFonts w:hint="default" w:ascii="Times New Roman" w:hAnsi="Times New Roman"/>
                <w:b/>
                <w:sz w:val="28"/>
                <w:szCs w:val="28"/>
                <w:lang w:eastAsia="zh-CN"/>
              </w:rPr>
              <w:t>比选</w:t>
            </w:r>
            <w:r>
              <w:rPr>
                <w:rFonts w:hint="default" w:ascii="Times New Roman" w:hAnsi="Times New Roman"/>
                <w:b/>
                <w:sz w:val="28"/>
                <w:szCs w:val="28"/>
              </w:rPr>
              <w:t>报价</w:t>
            </w:r>
          </w:p>
        </w:tc>
        <w:tc>
          <w:tcPr>
            <w:tcW w:w="1353" w:type="dxa"/>
            <w:noWrap w:val="0"/>
            <w:vAlign w:val="center"/>
          </w:tcPr>
          <w:p w14:paraId="3F91C39E">
            <w:pPr>
              <w:tabs>
                <w:tab w:val="left" w:pos="622"/>
              </w:tabs>
              <w:spacing w:line="440" w:lineRule="exact"/>
              <w:jc w:val="center"/>
              <w:rPr>
                <w:rFonts w:hint="default" w:ascii="Times New Roman" w:hAnsi="Times New Roman"/>
                <w:sz w:val="28"/>
                <w:szCs w:val="28"/>
              </w:rPr>
            </w:pPr>
            <w:r>
              <w:rPr>
                <w:rFonts w:hint="default" w:ascii="Times New Roman" w:hAnsi="Times New Roman"/>
                <w:sz w:val="28"/>
                <w:szCs w:val="28"/>
                <w:lang w:val="en-US" w:eastAsia="zh-CN"/>
              </w:rPr>
              <w:t>25</w:t>
            </w:r>
            <w:r>
              <w:rPr>
                <w:rFonts w:hint="default" w:ascii="Times New Roman" w:hAnsi="Times New Roman"/>
                <w:sz w:val="28"/>
                <w:szCs w:val="28"/>
              </w:rPr>
              <w:t>分</w:t>
            </w:r>
          </w:p>
        </w:tc>
        <w:tc>
          <w:tcPr>
            <w:tcW w:w="4004" w:type="dxa"/>
            <w:noWrap w:val="0"/>
            <w:vAlign w:val="center"/>
          </w:tcPr>
          <w:p w14:paraId="71988023">
            <w:pPr>
              <w:widowControl/>
              <w:spacing w:line="440" w:lineRule="exact"/>
              <w:jc w:val="left"/>
              <w:textAlignment w:val="center"/>
              <w:rPr>
                <w:rFonts w:ascii="Times New Roman" w:hAnsi="Times New Roman" w:cs="Times New Roman"/>
                <w:color w:val="000000"/>
                <w:sz w:val="28"/>
                <w:szCs w:val="28"/>
              </w:rPr>
            </w:pPr>
            <w:r>
              <w:rPr>
                <w:rFonts w:hint="default" w:ascii="Times New Roman" w:hAnsi="Times New Roman" w:cs="Times New Roman"/>
                <w:color w:val="auto"/>
                <w:kern w:val="0"/>
                <w:sz w:val="28"/>
                <w:szCs w:val="28"/>
                <w:highlight w:val="none"/>
                <w:lang w:val="en-US" w:eastAsia="zh-CN" w:bidi="ar"/>
              </w:rPr>
              <w:t>1.</w:t>
            </w:r>
            <w:r>
              <w:rPr>
                <w:rFonts w:hint="default" w:ascii="Times New Roman" w:hAnsi="Times New Roman" w:cs="Times New Roman"/>
                <w:color w:val="auto"/>
                <w:kern w:val="0"/>
                <w:sz w:val="28"/>
                <w:szCs w:val="28"/>
                <w:highlight w:val="none"/>
                <w:lang w:bidi="ar"/>
              </w:rPr>
              <w:t>收费超过</w:t>
            </w:r>
            <w:r>
              <w:rPr>
                <w:rFonts w:hint="default" w:ascii="Times New Roman" w:hAnsi="Times New Roman" w:cs="Times New Roman"/>
                <w:color w:val="auto"/>
                <w:kern w:val="0"/>
                <w:sz w:val="28"/>
                <w:szCs w:val="28"/>
                <w:highlight w:val="none"/>
                <w:lang w:val="en-US" w:eastAsia="zh-CN" w:bidi="ar"/>
              </w:rPr>
              <w:t>11.71</w:t>
            </w:r>
            <w:r>
              <w:rPr>
                <w:rFonts w:hint="default" w:ascii="Times New Roman" w:hAnsi="Times New Roman" w:cs="Times New Roman"/>
                <w:color w:val="auto"/>
                <w:kern w:val="0"/>
                <w:sz w:val="28"/>
                <w:szCs w:val="28"/>
                <w:highlight w:val="none"/>
                <w:lang w:bidi="ar"/>
              </w:rPr>
              <w:t>万元为无效报价；</w:t>
            </w:r>
            <w:r>
              <w:rPr>
                <w:rFonts w:hint="default" w:ascii="Times New Roman" w:hAnsi="Times New Roman" w:cs="Times New Roman"/>
                <w:color w:val="auto"/>
                <w:kern w:val="0"/>
                <w:sz w:val="28"/>
                <w:szCs w:val="28"/>
                <w:highlight w:val="none"/>
                <w:lang w:val="en-US" w:eastAsia="zh-CN" w:bidi="ar"/>
              </w:rPr>
              <w:t>2.</w:t>
            </w:r>
            <w:r>
              <w:rPr>
                <w:rFonts w:hint="default" w:ascii="Times New Roman" w:hAnsi="Times New Roman" w:cs="Times New Roman"/>
                <w:color w:val="auto"/>
                <w:kern w:val="0"/>
                <w:sz w:val="28"/>
                <w:szCs w:val="28"/>
                <w:highlight w:val="none"/>
                <w:lang w:bidi="ar"/>
              </w:rPr>
              <w:t>所有参与的比选申请人最低的有效报价为基准报价；</w:t>
            </w:r>
            <w:r>
              <w:rPr>
                <w:rFonts w:hint="default" w:ascii="Times New Roman" w:hAnsi="Times New Roman" w:cs="Times New Roman"/>
                <w:color w:val="auto"/>
                <w:kern w:val="0"/>
                <w:sz w:val="28"/>
                <w:szCs w:val="28"/>
                <w:highlight w:val="none"/>
                <w:lang w:val="en-US" w:eastAsia="zh-CN" w:bidi="ar"/>
              </w:rPr>
              <w:t>3.</w:t>
            </w:r>
            <w:r>
              <w:rPr>
                <w:rFonts w:hint="default" w:ascii="Times New Roman" w:hAnsi="Times New Roman" w:cs="Times New Roman"/>
                <w:color w:val="auto"/>
                <w:kern w:val="0"/>
                <w:sz w:val="28"/>
                <w:szCs w:val="28"/>
                <w:highlight w:val="none"/>
                <w:lang w:bidi="ar"/>
              </w:rPr>
              <w:t>报价得分=（基准报价/报价）×25分。</w:t>
            </w:r>
          </w:p>
        </w:tc>
        <w:tc>
          <w:tcPr>
            <w:tcW w:w="1575" w:type="dxa"/>
            <w:noWrap w:val="0"/>
            <w:vAlign w:val="center"/>
          </w:tcPr>
          <w:p w14:paraId="03498C19">
            <w:pPr>
              <w:tabs>
                <w:tab w:val="left" w:pos="622"/>
              </w:tabs>
              <w:jc w:val="center"/>
              <w:rPr>
                <w:rFonts w:hint="default" w:ascii="Times New Roman" w:hAnsi="Times New Roman"/>
                <w:sz w:val="24"/>
              </w:rPr>
            </w:pPr>
          </w:p>
        </w:tc>
      </w:tr>
      <w:tr w14:paraId="4738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12BEBA0F">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009631A6">
            <w:pPr>
              <w:tabs>
                <w:tab w:val="left" w:pos="622"/>
              </w:tabs>
              <w:spacing w:line="440" w:lineRule="exact"/>
              <w:jc w:val="center"/>
              <w:rPr>
                <w:rFonts w:hint="default" w:ascii="Times New Roman" w:hAnsi="Times New Roman"/>
                <w:sz w:val="28"/>
                <w:szCs w:val="28"/>
              </w:rPr>
            </w:pPr>
            <w:r>
              <w:rPr>
                <w:rFonts w:hint="default" w:ascii="Times New Roman" w:hAnsi="Times New Roman"/>
                <w:sz w:val="28"/>
                <w:szCs w:val="28"/>
                <w:lang w:val="en-US" w:eastAsia="zh-CN"/>
              </w:rPr>
              <w:t>20</w:t>
            </w:r>
            <w:r>
              <w:rPr>
                <w:rFonts w:hint="default" w:ascii="Times New Roman" w:hAnsi="Times New Roman"/>
                <w:sz w:val="28"/>
                <w:szCs w:val="28"/>
              </w:rPr>
              <w:t>分</w:t>
            </w:r>
          </w:p>
        </w:tc>
        <w:tc>
          <w:tcPr>
            <w:tcW w:w="4004" w:type="dxa"/>
            <w:noWrap w:val="0"/>
            <w:vAlign w:val="center"/>
          </w:tcPr>
          <w:p w14:paraId="2C44A9FF">
            <w:pPr>
              <w:tabs>
                <w:tab w:val="left" w:pos="622"/>
              </w:tabs>
              <w:spacing w:line="440" w:lineRule="exact"/>
              <w:jc w:val="left"/>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highlight w:val="none"/>
                <w:lang w:val="en-US" w:eastAsia="zh-CN" w:bidi="ar"/>
              </w:rPr>
              <w:t>服务本次</w:t>
            </w:r>
            <w:r>
              <w:rPr>
                <w:rFonts w:hint="default" w:ascii="Times New Roman" w:hAnsi="Times New Roman" w:cs="Times New Roman"/>
                <w:color w:val="000000"/>
                <w:kern w:val="0"/>
                <w:sz w:val="28"/>
                <w:szCs w:val="28"/>
                <w:highlight w:val="none"/>
                <w:lang w:val="en-US" w:eastAsia="zh-CN" w:bidi="ar"/>
              </w:rPr>
              <w:t>资产评估</w:t>
            </w:r>
            <w:r>
              <w:rPr>
                <w:rFonts w:hint="default" w:ascii="Times New Roman" w:hAnsi="Times New Roman" w:eastAsia="宋体" w:cs="Times New Roman"/>
                <w:color w:val="000000"/>
                <w:kern w:val="0"/>
                <w:sz w:val="28"/>
                <w:szCs w:val="28"/>
                <w:highlight w:val="none"/>
                <w:lang w:val="en-US" w:eastAsia="zh-CN" w:bidi="ar"/>
              </w:rPr>
              <w:t>业务团队成员每有1名</w:t>
            </w:r>
            <w:r>
              <w:rPr>
                <w:rFonts w:hint="default" w:ascii="Times New Roman" w:hAnsi="Times New Roman" w:cs="Times New Roman"/>
                <w:color w:val="000000"/>
                <w:kern w:val="0"/>
                <w:sz w:val="28"/>
                <w:szCs w:val="28"/>
                <w:highlight w:val="none"/>
                <w:lang w:val="en-US" w:eastAsia="zh-CN" w:bidi="ar"/>
              </w:rPr>
              <w:t>评估师</w:t>
            </w:r>
            <w:r>
              <w:rPr>
                <w:rFonts w:hint="default" w:ascii="Times New Roman" w:hAnsi="Times New Roman" w:eastAsia="宋体" w:cs="Times New Roman"/>
                <w:color w:val="000000"/>
                <w:kern w:val="0"/>
                <w:sz w:val="28"/>
                <w:szCs w:val="28"/>
                <w:highlight w:val="none"/>
                <w:lang w:val="en-US" w:eastAsia="zh-CN" w:bidi="ar"/>
              </w:rPr>
              <w:t>的得5分，最高20分</w:t>
            </w:r>
            <w:r>
              <w:rPr>
                <w:rFonts w:hint="default" w:ascii="Times New Roman" w:hAnsi="Times New Roman" w:eastAsia="宋体" w:cs="Times New Roman"/>
                <w:color w:val="000000"/>
                <w:kern w:val="0"/>
                <w:sz w:val="28"/>
                <w:szCs w:val="28"/>
                <w:lang w:val="en-US" w:eastAsia="zh-CN" w:bidi="ar"/>
              </w:rPr>
              <w:t>。</w:t>
            </w:r>
            <w:r>
              <w:rPr>
                <w:rFonts w:hint="default" w:ascii="Times New Roman" w:hAnsi="Times New Roman" w:eastAsia="宋体" w:cs="Times New Roman"/>
                <w:color w:val="000000"/>
                <w:kern w:val="0"/>
                <w:sz w:val="24"/>
                <w:szCs w:val="24"/>
                <w:lang w:val="en-US" w:eastAsia="zh-CN" w:bidi="ar"/>
              </w:rPr>
              <w:t>注：以上人员证书除提供证明文件复印件或扫描件外同时应提供投标人为该人员缴纳近1年内任意连续3个月的社保证明材料，否则不得分</w:t>
            </w:r>
            <w:r>
              <w:rPr>
                <w:rFonts w:hint="default" w:ascii="Times New Roman" w:hAnsi="Times New Roman" w:eastAsia="宋体" w:cs="Times New Roman"/>
                <w:color w:val="000000"/>
                <w:kern w:val="0"/>
                <w:sz w:val="28"/>
                <w:szCs w:val="28"/>
                <w:lang w:val="en-US" w:eastAsia="zh-CN" w:bidi="ar"/>
              </w:rPr>
              <w:t>。</w:t>
            </w:r>
          </w:p>
        </w:tc>
        <w:tc>
          <w:tcPr>
            <w:tcW w:w="1575" w:type="dxa"/>
            <w:noWrap w:val="0"/>
            <w:vAlign w:val="center"/>
          </w:tcPr>
          <w:p w14:paraId="5306BEA4">
            <w:pPr>
              <w:tabs>
                <w:tab w:val="left" w:pos="622"/>
              </w:tabs>
              <w:jc w:val="center"/>
              <w:rPr>
                <w:rFonts w:hint="default" w:ascii="Times New Roman" w:hAnsi="Times New Roman"/>
                <w:sz w:val="24"/>
              </w:rPr>
            </w:pPr>
          </w:p>
        </w:tc>
      </w:tr>
      <w:tr w14:paraId="09F0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7AA2E4CA">
            <w:pPr>
              <w:tabs>
                <w:tab w:val="left" w:pos="622"/>
              </w:tabs>
              <w:spacing w:line="440" w:lineRule="exact"/>
              <w:jc w:val="center"/>
              <w:rPr>
                <w:rFonts w:hint="default" w:ascii="Times New Roman" w:hAnsi="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1911ED87">
            <w:pPr>
              <w:tabs>
                <w:tab w:val="left" w:pos="622"/>
              </w:tabs>
              <w:spacing w:line="440" w:lineRule="exact"/>
              <w:jc w:val="center"/>
              <w:rPr>
                <w:rFonts w:hint="default" w:ascii="Times New Roman" w:hAnsi="Times New Roman"/>
                <w:sz w:val="28"/>
                <w:szCs w:val="28"/>
              </w:rPr>
            </w:pPr>
            <w:r>
              <w:rPr>
                <w:rFonts w:hint="default" w:ascii="Times New Roman" w:hAnsi="Times New Roman"/>
                <w:sz w:val="28"/>
                <w:szCs w:val="28"/>
                <w:lang w:val="en-US" w:eastAsia="zh-CN"/>
              </w:rPr>
              <w:t>35</w:t>
            </w:r>
            <w:r>
              <w:rPr>
                <w:rFonts w:hint="default" w:ascii="Times New Roman" w:hAnsi="Times New Roman"/>
                <w:sz w:val="28"/>
                <w:szCs w:val="28"/>
              </w:rPr>
              <w:t>分</w:t>
            </w:r>
          </w:p>
        </w:tc>
        <w:tc>
          <w:tcPr>
            <w:tcW w:w="4004" w:type="dxa"/>
            <w:noWrap w:val="0"/>
            <w:vAlign w:val="center"/>
          </w:tcPr>
          <w:p w14:paraId="6964AD26">
            <w:pPr>
              <w:tabs>
                <w:tab w:val="left" w:pos="622"/>
              </w:tabs>
              <w:spacing w:line="440" w:lineRule="exact"/>
              <w:jc w:val="left"/>
              <w:rPr>
                <w:rFonts w:hint="default" w:ascii="Times New Roman" w:hAnsi="Times New Roman"/>
                <w:sz w:val="28"/>
                <w:szCs w:val="28"/>
                <w:lang w:val="en-US" w:eastAsia="zh-CN"/>
              </w:rPr>
            </w:pPr>
            <w:r>
              <w:rPr>
                <w:rFonts w:hint="default" w:ascii="Times New Roman" w:hAnsi="Times New Roman" w:eastAsia="宋体" w:cs="Times New Roman"/>
                <w:color w:val="000000"/>
                <w:kern w:val="0"/>
                <w:sz w:val="28"/>
                <w:szCs w:val="28"/>
                <w:highlight w:val="none"/>
                <w:lang w:val="en-US" w:eastAsia="zh-CN" w:bidi="ar"/>
              </w:rPr>
              <w:t>1.提供项目</w:t>
            </w:r>
            <w:r>
              <w:rPr>
                <w:rFonts w:hint="default" w:ascii="Times New Roman" w:hAnsi="Times New Roman" w:cs="Times New Roman"/>
                <w:color w:val="000000"/>
                <w:kern w:val="0"/>
                <w:sz w:val="28"/>
                <w:szCs w:val="28"/>
                <w:highlight w:val="none"/>
                <w:lang w:val="en-US" w:eastAsia="zh-CN" w:bidi="ar"/>
              </w:rPr>
              <w:t>资产评估编制</w:t>
            </w:r>
            <w:r>
              <w:rPr>
                <w:rFonts w:hint="default" w:ascii="Times New Roman" w:hAnsi="Times New Roman" w:eastAsia="宋体" w:cs="Times New Roman"/>
                <w:color w:val="000000"/>
                <w:kern w:val="0"/>
                <w:sz w:val="28"/>
                <w:szCs w:val="28"/>
                <w:highlight w:val="none"/>
                <w:lang w:val="en-US" w:eastAsia="zh-CN" w:bidi="ar"/>
              </w:rPr>
              <w:t>时间安排优秀的得8—15分，良好的得1—7分，没有不得分；</w:t>
            </w:r>
            <w:r>
              <w:rPr>
                <w:rFonts w:hint="default" w:ascii="Times New Roman" w:hAnsi="Times New Roman"/>
                <w:sz w:val="28"/>
                <w:szCs w:val="28"/>
                <w:lang w:val="en-US" w:eastAsia="zh-CN"/>
              </w:rPr>
              <w:t>2.资产评估</w:t>
            </w:r>
            <w:r>
              <w:rPr>
                <w:rFonts w:hint="default" w:ascii="Times New Roman" w:hAnsi="Times New Roman"/>
                <w:sz w:val="28"/>
                <w:szCs w:val="28"/>
                <w:lang w:eastAsia="zh-CN"/>
              </w:rPr>
              <w:t>方案详细、全面、可行，资产评估编制中涉及与金融机构</w:t>
            </w:r>
            <w:r>
              <w:rPr>
                <w:rFonts w:hint="default" w:ascii="Times New Roman" w:hAnsi="Times New Roman"/>
                <w:sz w:val="28"/>
                <w:szCs w:val="28"/>
                <w:lang w:val="en-US" w:eastAsia="zh-CN"/>
              </w:rPr>
              <w:t>等</w:t>
            </w:r>
            <w:r>
              <w:rPr>
                <w:rFonts w:hint="default" w:ascii="Times New Roman" w:hAnsi="Times New Roman"/>
                <w:sz w:val="28"/>
                <w:szCs w:val="28"/>
                <w:lang w:eastAsia="zh-CN"/>
              </w:rPr>
              <w:t>沟通协调、问题难点、应对策略等要素，相关方案和举措优秀的得11—20分，良好的得1—10分，没有不得分。</w:t>
            </w:r>
          </w:p>
        </w:tc>
        <w:tc>
          <w:tcPr>
            <w:tcW w:w="1575" w:type="dxa"/>
            <w:noWrap w:val="0"/>
            <w:vAlign w:val="center"/>
          </w:tcPr>
          <w:p w14:paraId="5469A5D3">
            <w:pPr>
              <w:tabs>
                <w:tab w:val="left" w:pos="622"/>
              </w:tabs>
              <w:jc w:val="center"/>
              <w:rPr>
                <w:rFonts w:hint="default" w:ascii="Times New Roman" w:hAnsi="Times New Roman"/>
                <w:sz w:val="24"/>
              </w:rPr>
            </w:pPr>
          </w:p>
        </w:tc>
      </w:tr>
      <w:tr w14:paraId="40D9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5AC53340">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09C7C993">
            <w:pPr>
              <w:tabs>
                <w:tab w:val="left" w:pos="622"/>
              </w:tabs>
              <w:spacing w:line="440" w:lineRule="exact"/>
              <w:jc w:val="center"/>
              <w:rPr>
                <w:rFonts w:hint="default" w:ascii="Times New Roman" w:hAnsi="Times New Roman" w:eastAsia="宋体"/>
                <w:sz w:val="28"/>
                <w:szCs w:val="28"/>
                <w:lang w:val="en-US" w:eastAsia="zh-CN"/>
              </w:rPr>
            </w:pPr>
            <w:r>
              <w:rPr>
                <w:rFonts w:hint="default" w:ascii="Times New Roman" w:hAnsi="Times New Roman"/>
                <w:sz w:val="28"/>
                <w:szCs w:val="28"/>
                <w:lang w:val="en-US" w:eastAsia="zh-CN"/>
              </w:rPr>
              <w:t>20分</w:t>
            </w:r>
          </w:p>
        </w:tc>
        <w:tc>
          <w:tcPr>
            <w:tcW w:w="4004" w:type="dxa"/>
            <w:noWrap w:val="0"/>
            <w:vAlign w:val="center"/>
          </w:tcPr>
          <w:p w14:paraId="7F6BC099">
            <w:pPr>
              <w:tabs>
                <w:tab w:val="left" w:pos="622"/>
              </w:tabs>
              <w:spacing w:line="440" w:lineRule="exact"/>
              <w:jc w:val="left"/>
              <w:rPr>
                <w:rFonts w:hint="default" w:ascii="Times New Roman" w:hAnsi="Times New Roman"/>
                <w:sz w:val="28"/>
                <w:szCs w:val="28"/>
                <w:lang w:val="en-US" w:eastAsia="zh-CN"/>
              </w:rPr>
            </w:pPr>
            <w:r>
              <w:rPr>
                <w:rFonts w:hint="default" w:ascii="Times New Roman" w:hAnsi="Times New Roman" w:eastAsia="宋体" w:cs="Times New Roman"/>
                <w:color w:val="auto"/>
                <w:kern w:val="2"/>
                <w:sz w:val="28"/>
                <w:szCs w:val="28"/>
                <w:highlight w:val="none"/>
                <w:lang w:val="en-US" w:eastAsia="zh-CN" w:bidi="ar"/>
              </w:rPr>
              <w:t>2022年</w:t>
            </w:r>
            <w:r>
              <w:rPr>
                <w:rFonts w:hint="default" w:ascii="Times New Roman" w:hAnsi="Times New Roman" w:cs="Times New Roman"/>
                <w:color w:val="auto"/>
                <w:kern w:val="2"/>
                <w:sz w:val="28"/>
                <w:szCs w:val="28"/>
                <w:highlight w:val="none"/>
                <w:lang w:val="en-US" w:eastAsia="zh-CN" w:bidi="ar"/>
              </w:rPr>
              <w:t>8</w:t>
            </w:r>
            <w:r>
              <w:rPr>
                <w:rFonts w:hint="default" w:ascii="Times New Roman" w:hAnsi="Times New Roman" w:eastAsia="宋体" w:cs="Times New Roman"/>
                <w:color w:val="auto"/>
                <w:kern w:val="2"/>
                <w:sz w:val="28"/>
                <w:szCs w:val="28"/>
                <w:highlight w:val="none"/>
                <w:lang w:val="en-US" w:eastAsia="zh-CN" w:bidi="ar"/>
              </w:rPr>
              <w:t>月1日</w:t>
            </w:r>
            <w:r>
              <w:rPr>
                <w:rFonts w:hint="default" w:ascii="Times New Roman" w:hAnsi="Times New Roman" w:eastAsia="宋体" w:cs="Times New Roman"/>
                <w:color w:val="auto"/>
                <w:kern w:val="2"/>
                <w:sz w:val="28"/>
                <w:szCs w:val="28"/>
                <w:lang w:val="en-US" w:eastAsia="zh-CN" w:bidi="ar"/>
              </w:rPr>
              <w:t>起，投标人承担</w:t>
            </w:r>
            <w:r>
              <w:rPr>
                <w:rFonts w:hint="default" w:ascii="Times New Roman" w:hAnsi="Times New Roman" w:cs="Times New Roman"/>
                <w:color w:val="auto"/>
                <w:kern w:val="2"/>
                <w:sz w:val="28"/>
                <w:szCs w:val="28"/>
                <w:lang w:val="en-US" w:eastAsia="zh-CN" w:bidi="ar"/>
              </w:rPr>
              <w:t>资产评估编制</w:t>
            </w:r>
            <w:r>
              <w:rPr>
                <w:rFonts w:hint="default" w:ascii="Times New Roman" w:hAnsi="Times New Roman" w:eastAsia="宋体" w:cs="Times New Roman"/>
                <w:color w:val="auto"/>
                <w:kern w:val="2"/>
                <w:sz w:val="28"/>
                <w:szCs w:val="28"/>
                <w:lang w:val="en-US" w:eastAsia="zh-CN" w:bidi="ar"/>
              </w:rPr>
              <w:t>同类项目业绩情况，每提供一份并购</w:t>
            </w:r>
            <w:r>
              <w:rPr>
                <w:rFonts w:hint="default" w:ascii="Times New Roman" w:hAnsi="Times New Roman" w:cs="Times New Roman"/>
                <w:color w:val="auto"/>
                <w:kern w:val="2"/>
                <w:sz w:val="28"/>
                <w:szCs w:val="28"/>
                <w:lang w:val="en-US" w:eastAsia="zh-CN" w:bidi="ar"/>
              </w:rPr>
              <w:t>类</w:t>
            </w:r>
            <w:r>
              <w:rPr>
                <w:rFonts w:hint="default" w:ascii="Times New Roman" w:hAnsi="Times New Roman" w:eastAsia="宋体" w:cs="Times New Roman"/>
                <w:color w:val="auto"/>
                <w:kern w:val="2"/>
                <w:sz w:val="28"/>
                <w:szCs w:val="28"/>
                <w:lang w:val="en-US" w:eastAsia="zh-CN" w:bidi="ar"/>
              </w:rPr>
              <w:t>项目</w:t>
            </w:r>
            <w:bookmarkStart w:id="0" w:name="OLE_LINK1"/>
            <w:r>
              <w:rPr>
                <w:rFonts w:hint="default" w:ascii="Times New Roman" w:hAnsi="Times New Roman" w:cs="Times New Roman"/>
                <w:color w:val="auto"/>
                <w:kern w:val="2"/>
                <w:sz w:val="28"/>
                <w:szCs w:val="28"/>
                <w:lang w:val="en-US" w:eastAsia="zh-CN" w:bidi="ar"/>
              </w:rPr>
              <w:t>资产评估编制</w:t>
            </w:r>
            <w:r>
              <w:rPr>
                <w:rFonts w:hint="default" w:ascii="Times New Roman" w:hAnsi="Times New Roman" w:eastAsia="宋体" w:cs="Times New Roman"/>
                <w:color w:val="auto"/>
                <w:kern w:val="2"/>
                <w:sz w:val="28"/>
                <w:szCs w:val="28"/>
                <w:lang w:val="en-US" w:eastAsia="zh-CN" w:bidi="ar"/>
              </w:rPr>
              <w:t>证明材料</w:t>
            </w:r>
            <w:bookmarkEnd w:id="0"/>
            <w:r>
              <w:rPr>
                <w:rFonts w:hint="default" w:ascii="Times New Roman" w:hAnsi="Times New Roman" w:eastAsia="宋体" w:cs="Times New Roman"/>
                <w:color w:val="000000"/>
                <w:kern w:val="0"/>
                <w:sz w:val="28"/>
                <w:szCs w:val="28"/>
                <w:highlight w:val="none"/>
                <w:lang w:val="en-US" w:eastAsia="zh-CN" w:bidi="ar"/>
              </w:rPr>
              <w:t>的得5分，最高20分。</w:t>
            </w:r>
          </w:p>
        </w:tc>
        <w:tc>
          <w:tcPr>
            <w:tcW w:w="1575" w:type="dxa"/>
            <w:noWrap w:val="0"/>
            <w:vAlign w:val="center"/>
          </w:tcPr>
          <w:p w14:paraId="645F0C4A">
            <w:pPr>
              <w:tabs>
                <w:tab w:val="left" w:pos="622"/>
              </w:tabs>
              <w:jc w:val="center"/>
              <w:rPr>
                <w:rFonts w:hint="default" w:ascii="Times New Roman" w:hAnsi="Times New Roman"/>
                <w:sz w:val="24"/>
              </w:rPr>
            </w:pPr>
          </w:p>
        </w:tc>
      </w:tr>
      <w:tr w14:paraId="55E7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582BC4EE">
            <w:pPr>
              <w:tabs>
                <w:tab w:val="left" w:pos="622"/>
              </w:tabs>
              <w:jc w:val="center"/>
              <w:rPr>
                <w:rFonts w:hint="default" w:ascii="Times New Roman" w:hAnsi="Times New Roman"/>
                <w:b/>
                <w:sz w:val="30"/>
                <w:szCs w:val="30"/>
              </w:rPr>
            </w:pPr>
            <w:r>
              <w:rPr>
                <w:rFonts w:hint="default" w:ascii="Times New Roman" w:hAnsi="Times New Roman"/>
                <w:b/>
                <w:sz w:val="30"/>
                <w:szCs w:val="30"/>
              </w:rPr>
              <w:t>合计</w:t>
            </w:r>
          </w:p>
        </w:tc>
        <w:tc>
          <w:tcPr>
            <w:tcW w:w="1353" w:type="dxa"/>
            <w:noWrap w:val="0"/>
            <w:vAlign w:val="center"/>
          </w:tcPr>
          <w:p w14:paraId="10E98D79">
            <w:pPr>
              <w:tabs>
                <w:tab w:val="left" w:pos="622"/>
              </w:tabs>
              <w:jc w:val="center"/>
              <w:rPr>
                <w:rFonts w:hint="default" w:ascii="Times New Roman" w:hAnsi="Times New Roman"/>
                <w:b/>
                <w:sz w:val="30"/>
                <w:szCs w:val="30"/>
              </w:rPr>
            </w:pPr>
            <w:r>
              <w:rPr>
                <w:rFonts w:hint="default" w:ascii="Times New Roman" w:hAnsi="Times New Roman"/>
                <w:b/>
                <w:sz w:val="30"/>
                <w:szCs w:val="30"/>
              </w:rPr>
              <w:t>100分</w:t>
            </w:r>
          </w:p>
        </w:tc>
        <w:tc>
          <w:tcPr>
            <w:tcW w:w="4004" w:type="dxa"/>
            <w:noWrap w:val="0"/>
            <w:vAlign w:val="center"/>
          </w:tcPr>
          <w:p w14:paraId="2567AA0A">
            <w:pPr>
              <w:tabs>
                <w:tab w:val="left" w:pos="622"/>
              </w:tabs>
              <w:jc w:val="center"/>
              <w:rPr>
                <w:rFonts w:hint="default" w:ascii="Times New Roman" w:hAnsi="Times New Roman"/>
                <w:sz w:val="24"/>
              </w:rPr>
            </w:pPr>
          </w:p>
        </w:tc>
        <w:tc>
          <w:tcPr>
            <w:tcW w:w="1575" w:type="dxa"/>
            <w:noWrap w:val="0"/>
            <w:vAlign w:val="center"/>
          </w:tcPr>
          <w:p w14:paraId="31BF4D78">
            <w:pPr>
              <w:tabs>
                <w:tab w:val="left" w:pos="622"/>
              </w:tabs>
              <w:jc w:val="center"/>
              <w:rPr>
                <w:rFonts w:hint="default" w:ascii="Times New Roman" w:hAnsi="Times New Roman"/>
                <w:sz w:val="24"/>
              </w:rPr>
            </w:pPr>
          </w:p>
        </w:tc>
      </w:tr>
    </w:tbl>
    <w:p w14:paraId="7B4B9E3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299AE2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4E74B5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6CEFA03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3C1A08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2E0392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38BD91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0AE44F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7638F4CA">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205D13C9">
      <w:pPr>
        <w:pStyle w:val="12"/>
        <w:rPr>
          <w:rFonts w:hint="default" w:ascii="Times New Roman" w:hAnsi="Times New Roman" w:eastAsia="仿宋" w:cs="Times New Roman"/>
          <w:b/>
          <w:bCs/>
          <w:color w:val="auto"/>
          <w:sz w:val="40"/>
          <w:szCs w:val="40"/>
          <w:shd w:val="clear" w:color="050000" w:fill="auto"/>
        </w:rPr>
      </w:pPr>
    </w:p>
    <w:p w14:paraId="0D37E9EA">
      <w:pPr>
        <w:spacing w:line="360" w:lineRule="auto"/>
        <w:jc w:val="center"/>
        <w:rPr>
          <w:rFonts w:hint="default" w:ascii="Times New Roman" w:hAnsi="Times New Roman" w:eastAsia="仿宋" w:cs="Times New Roman"/>
          <w:b/>
          <w:color w:val="auto"/>
          <w:sz w:val="40"/>
          <w:szCs w:val="40"/>
          <w:shd w:val="clear" w:color="060000" w:fill="auto"/>
        </w:rPr>
      </w:pPr>
    </w:p>
    <w:p w14:paraId="7F56957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6FD1A508">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D16F458">
      <w:pPr>
        <w:pStyle w:val="19"/>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1" w:name="_Toc174185203"/>
      <w:bookmarkStart w:id="2" w:name="_Toc186274126"/>
      <w:bookmarkStart w:id="3" w:name="_Toc184023138"/>
    </w:p>
    <w:p w14:paraId="0FE7A4F1">
      <w:pPr>
        <w:pStyle w:val="19"/>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25E7E66F">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rPr>
        <w:t>关于环保装备制造产业园1期资产并购项目</w:t>
      </w:r>
      <w:r>
        <w:rPr>
          <w:rFonts w:hint="default" w:ascii="Times New Roman" w:hAnsi="Times New Roman" w:eastAsia="方正小标宋简体" w:cs="Times New Roman"/>
          <w:b w:val="0"/>
          <w:bCs w:val="0"/>
          <w:sz w:val="40"/>
          <w:szCs w:val="40"/>
          <w:lang w:val="en-US" w:eastAsia="zh-CN"/>
        </w:rPr>
        <w:t>资产评估</w:t>
      </w:r>
      <w:r>
        <w:rPr>
          <w:rFonts w:hint="default" w:ascii="Times New Roman" w:hAnsi="Times New Roman" w:eastAsia="方正小标宋简体" w:cs="Times New Roman"/>
          <w:b w:val="0"/>
          <w:bCs w:val="0"/>
          <w:sz w:val="40"/>
          <w:szCs w:val="40"/>
        </w:rPr>
        <w:t>报告编制服务</w:t>
      </w:r>
    </w:p>
    <w:p w14:paraId="1C91D6E9">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28FABD0F">
      <w:pPr>
        <w:jc w:val="center"/>
        <w:rPr>
          <w:rFonts w:hint="default" w:ascii="Times New Roman" w:hAnsi="Times New Roman" w:eastAsia="仿宋" w:cs="Times New Roman"/>
          <w:color w:val="auto"/>
          <w:sz w:val="28"/>
          <w:szCs w:val="28"/>
          <w:shd w:val="clear" w:color="050000" w:fill="auto"/>
        </w:rPr>
      </w:pPr>
    </w:p>
    <w:p w14:paraId="16E640C3">
      <w:pPr>
        <w:jc w:val="center"/>
        <w:rPr>
          <w:rFonts w:hint="default" w:ascii="Times New Roman" w:hAnsi="Times New Roman" w:eastAsia="仿宋" w:cs="Times New Roman"/>
          <w:color w:val="auto"/>
          <w:sz w:val="28"/>
          <w:szCs w:val="28"/>
          <w:shd w:val="clear" w:color="050000" w:fill="auto"/>
        </w:rPr>
      </w:pPr>
    </w:p>
    <w:p w14:paraId="76819D44">
      <w:pPr>
        <w:rPr>
          <w:rFonts w:hint="default" w:ascii="Times New Roman" w:hAnsi="Times New Roman" w:eastAsia="仿宋" w:cs="Times New Roman"/>
          <w:color w:val="auto"/>
          <w:sz w:val="28"/>
          <w:szCs w:val="28"/>
          <w:shd w:val="clear" w:color="050000" w:fill="auto"/>
        </w:rPr>
      </w:pPr>
    </w:p>
    <w:p w14:paraId="1B33DECA">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0603C127">
      <w:pPr>
        <w:pStyle w:val="3"/>
        <w:numPr>
          <w:ilvl w:val="1"/>
          <w:numId w:val="0"/>
        </w:numPr>
        <w:rPr>
          <w:rFonts w:hint="default" w:ascii="Times New Roman" w:hAnsi="Times New Roman" w:eastAsia="仿宋" w:cs="Times New Roman"/>
          <w:sz w:val="32"/>
          <w:szCs w:val="32"/>
        </w:rPr>
      </w:pPr>
    </w:p>
    <w:p w14:paraId="282F83D7">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4F11C24E">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4181032F">
      <w:pPr>
        <w:pStyle w:val="10"/>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6EC7CC3">
      <w:pPr>
        <w:pStyle w:val="10"/>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CEEF47C">
      <w:pPr>
        <w:pStyle w:val="10"/>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13E830E">
      <w:pPr>
        <w:pStyle w:val="10"/>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1"/>
      <w:bookmarkEnd w:id="2"/>
      <w:bookmarkEnd w:id="3"/>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097BA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366E3EE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52844AC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0C664863">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5FF99DD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557FEC8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14E2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8737E5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2C58B767">
            <w:pPr>
              <w:pStyle w:val="10"/>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5D64832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02B649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41AA97A3">
            <w:pPr>
              <w:snapToGrid w:val="0"/>
              <w:spacing w:line="540" w:lineRule="exact"/>
              <w:rPr>
                <w:rFonts w:hint="default" w:ascii="Times New Roman" w:hAnsi="Times New Roman" w:eastAsia="仿宋" w:cs="Times New Roman"/>
                <w:color w:val="auto"/>
                <w:sz w:val="22"/>
                <w:szCs w:val="22"/>
                <w:highlight w:val="none"/>
              </w:rPr>
            </w:pPr>
          </w:p>
        </w:tc>
      </w:tr>
      <w:tr w14:paraId="67580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C88A92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38EC818C">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2A5277F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F777478">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FA04B92">
            <w:pPr>
              <w:snapToGrid w:val="0"/>
              <w:spacing w:line="540" w:lineRule="exact"/>
              <w:rPr>
                <w:rFonts w:hint="default" w:ascii="Times New Roman" w:hAnsi="Times New Roman" w:eastAsia="仿宋" w:cs="Times New Roman"/>
                <w:color w:val="auto"/>
                <w:sz w:val="22"/>
                <w:szCs w:val="22"/>
                <w:highlight w:val="none"/>
              </w:rPr>
            </w:pPr>
          </w:p>
        </w:tc>
      </w:tr>
      <w:tr w14:paraId="731F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7AC187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0693D019">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2601D3B0">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21EDA5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108A4F6">
            <w:pPr>
              <w:snapToGrid w:val="0"/>
              <w:spacing w:line="540" w:lineRule="exact"/>
              <w:rPr>
                <w:rFonts w:hint="default" w:ascii="Times New Roman" w:hAnsi="Times New Roman" w:eastAsia="仿宋" w:cs="Times New Roman"/>
                <w:color w:val="auto"/>
                <w:sz w:val="22"/>
                <w:szCs w:val="22"/>
                <w:highlight w:val="none"/>
              </w:rPr>
            </w:pPr>
          </w:p>
        </w:tc>
      </w:tr>
      <w:tr w14:paraId="12432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CA7EFB7">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17978938">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营业执照等（或资产评估编制机构执业许可材料）</w:t>
            </w:r>
          </w:p>
        </w:tc>
        <w:tc>
          <w:tcPr>
            <w:tcW w:w="1583" w:type="dxa"/>
            <w:vAlign w:val="center"/>
          </w:tcPr>
          <w:p w14:paraId="24FFE60A">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044CD9A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4E511D1E">
            <w:pPr>
              <w:snapToGrid w:val="0"/>
              <w:spacing w:line="540" w:lineRule="exact"/>
              <w:rPr>
                <w:rFonts w:hint="default" w:ascii="Times New Roman" w:hAnsi="Times New Roman" w:eastAsia="仿宋" w:cs="Times New Roman"/>
                <w:color w:val="auto"/>
                <w:sz w:val="22"/>
                <w:szCs w:val="22"/>
                <w:highlight w:val="none"/>
              </w:rPr>
            </w:pPr>
          </w:p>
        </w:tc>
      </w:tr>
      <w:tr w14:paraId="7412C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F5350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4BD5D2D9">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331F727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7B459EC">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575D59CB">
            <w:pPr>
              <w:snapToGrid w:val="0"/>
              <w:spacing w:line="540" w:lineRule="exact"/>
              <w:rPr>
                <w:rFonts w:hint="default" w:ascii="Times New Roman" w:hAnsi="Times New Roman" w:eastAsia="仿宋" w:cs="Times New Roman"/>
                <w:color w:val="auto"/>
                <w:sz w:val="22"/>
                <w:szCs w:val="22"/>
                <w:highlight w:val="none"/>
              </w:rPr>
            </w:pPr>
          </w:p>
        </w:tc>
      </w:tr>
      <w:tr w14:paraId="195F6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9967F0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1BA7B9CB">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1B62E29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77ECF31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22F5719">
            <w:pPr>
              <w:snapToGrid w:val="0"/>
              <w:spacing w:line="540" w:lineRule="exact"/>
              <w:rPr>
                <w:rFonts w:hint="default" w:ascii="Times New Roman" w:hAnsi="Times New Roman" w:eastAsia="仿宋" w:cs="Times New Roman"/>
                <w:color w:val="auto"/>
                <w:sz w:val="22"/>
                <w:szCs w:val="22"/>
                <w:highlight w:val="none"/>
              </w:rPr>
            </w:pPr>
          </w:p>
        </w:tc>
      </w:tr>
      <w:tr w14:paraId="729E1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F690A5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0DC38E7B">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18E3501C">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2F5A27D">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57EBAC34">
            <w:pPr>
              <w:snapToGrid w:val="0"/>
              <w:spacing w:line="540" w:lineRule="exact"/>
              <w:rPr>
                <w:rFonts w:hint="default" w:ascii="Times New Roman" w:hAnsi="Times New Roman" w:eastAsia="仿宋" w:cs="Times New Roman"/>
                <w:color w:val="auto"/>
                <w:sz w:val="22"/>
                <w:szCs w:val="22"/>
                <w:highlight w:val="none"/>
              </w:rPr>
            </w:pPr>
          </w:p>
        </w:tc>
      </w:tr>
      <w:tr w14:paraId="389AA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186380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30F0AC07">
            <w:pPr>
              <w:pStyle w:val="10"/>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资产评估编制</w:t>
            </w:r>
            <w:r>
              <w:rPr>
                <w:rFonts w:hint="default" w:ascii="Times New Roman" w:hAnsi="Times New Roman" w:eastAsia="仿宋" w:cs="Times New Roman"/>
                <w:color w:val="auto"/>
                <w:kern w:val="0"/>
                <w:sz w:val="22"/>
                <w:szCs w:val="22"/>
                <w:highlight w:val="none"/>
                <w:lang w:eastAsia="zh-CN"/>
              </w:rPr>
              <w:t>方案</w:t>
            </w:r>
          </w:p>
        </w:tc>
        <w:tc>
          <w:tcPr>
            <w:tcW w:w="1583" w:type="dxa"/>
            <w:vAlign w:val="center"/>
          </w:tcPr>
          <w:p w14:paraId="2BF4F4B7">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8EDCF5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1EAA409">
            <w:pPr>
              <w:snapToGrid w:val="0"/>
              <w:spacing w:line="540" w:lineRule="exact"/>
              <w:rPr>
                <w:rFonts w:hint="default" w:ascii="Times New Roman" w:hAnsi="Times New Roman" w:eastAsia="仿宋" w:cs="Times New Roman"/>
                <w:color w:val="auto"/>
                <w:sz w:val="22"/>
                <w:szCs w:val="22"/>
                <w:highlight w:val="none"/>
              </w:rPr>
            </w:pPr>
          </w:p>
        </w:tc>
      </w:tr>
      <w:tr w14:paraId="5893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1B491C4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2ACB3D8F">
            <w:pPr>
              <w:pStyle w:val="10"/>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资产评估编制证明材料</w:t>
            </w:r>
          </w:p>
        </w:tc>
        <w:tc>
          <w:tcPr>
            <w:tcW w:w="1583" w:type="dxa"/>
            <w:vAlign w:val="center"/>
          </w:tcPr>
          <w:p w14:paraId="5C4EAB9E">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5045BE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DBA8763">
            <w:pPr>
              <w:snapToGrid w:val="0"/>
              <w:spacing w:line="540" w:lineRule="exact"/>
              <w:rPr>
                <w:rFonts w:hint="default" w:ascii="Times New Roman" w:hAnsi="Times New Roman" w:eastAsia="仿宋" w:cs="Times New Roman"/>
                <w:color w:val="auto"/>
                <w:sz w:val="22"/>
                <w:szCs w:val="22"/>
                <w:highlight w:val="none"/>
              </w:rPr>
            </w:pPr>
          </w:p>
        </w:tc>
      </w:tr>
      <w:tr w14:paraId="31D6D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F394A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56987C15">
            <w:pPr>
              <w:pStyle w:val="10"/>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0F2828F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261B32A">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968A5A6">
            <w:pPr>
              <w:snapToGrid w:val="0"/>
              <w:spacing w:line="540" w:lineRule="exact"/>
              <w:rPr>
                <w:rFonts w:hint="default" w:ascii="Times New Roman" w:hAnsi="Times New Roman" w:eastAsia="仿宋" w:cs="Times New Roman"/>
                <w:color w:val="auto"/>
                <w:sz w:val="22"/>
                <w:szCs w:val="22"/>
                <w:highlight w:val="none"/>
              </w:rPr>
            </w:pPr>
          </w:p>
        </w:tc>
      </w:tr>
    </w:tbl>
    <w:p w14:paraId="7383F83E">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E67599A">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531BE3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1765C82">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A6A34F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B5BA2A5">
      <w:pPr>
        <w:pStyle w:val="15"/>
        <w:rPr>
          <w:rFonts w:hint="default" w:ascii="Times New Roman" w:hAnsi="Times New Roman" w:eastAsia="仿宋" w:cs="Times New Roman"/>
          <w:color w:val="auto"/>
          <w:sz w:val="24"/>
          <w:szCs w:val="24"/>
        </w:rPr>
      </w:pPr>
    </w:p>
    <w:p w14:paraId="3F1570D1">
      <w:pPr>
        <w:pStyle w:val="16"/>
        <w:rPr>
          <w:rFonts w:hint="default" w:ascii="Times New Roman" w:hAnsi="Times New Roman" w:eastAsia="仿宋" w:cs="Times New Roman"/>
          <w:color w:val="auto"/>
          <w:sz w:val="24"/>
          <w:szCs w:val="24"/>
        </w:rPr>
      </w:pPr>
    </w:p>
    <w:p w14:paraId="24AE20CE">
      <w:pPr>
        <w:rPr>
          <w:rFonts w:hint="default" w:ascii="Times New Roman" w:hAnsi="Times New Roman" w:eastAsia="仿宋" w:cs="Times New Roman"/>
          <w:color w:val="auto"/>
          <w:sz w:val="24"/>
          <w:szCs w:val="24"/>
        </w:rPr>
      </w:pPr>
    </w:p>
    <w:p w14:paraId="2BD1E129">
      <w:pPr>
        <w:pStyle w:val="15"/>
        <w:rPr>
          <w:rFonts w:hint="default" w:ascii="Times New Roman" w:hAnsi="Times New Roman" w:eastAsia="仿宋" w:cs="Times New Roman"/>
          <w:color w:val="auto"/>
          <w:sz w:val="24"/>
          <w:szCs w:val="24"/>
        </w:rPr>
      </w:pPr>
    </w:p>
    <w:p w14:paraId="3856800E">
      <w:pPr>
        <w:pStyle w:val="16"/>
        <w:rPr>
          <w:rFonts w:hint="default" w:ascii="Times New Roman" w:hAnsi="Times New Roman" w:eastAsia="仿宋" w:cs="Times New Roman"/>
          <w:color w:val="auto"/>
          <w:sz w:val="24"/>
          <w:szCs w:val="24"/>
        </w:rPr>
      </w:pPr>
    </w:p>
    <w:p w14:paraId="122D158C">
      <w:pPr>
        <w:pStyle w:val="13"/>
        <w:rPr>
          <w:rFonts w:hint="default" w:ascii="Times New Roman" w:hAnsi="Times New Roman" w:eastAsia="仿宋" w:cs="Times New Roman"/>
          <w:color w:val="auto"/>
          <w:sz w:val="24"/>
          <w:szCs w:val="24"/>
        </w:rPr>
      </w:pPr>
    </w:p>
    <w:p w14:paraId="1BC6B3F4">
      <w:pPr>
        <w:pStyle w:val="13"/>
        <w:rPr>
          <w:rFonts w:hint="default" w:ascii="Times New Roman" w:hAnsi="Times New Roman" w:eastAsia="仿宋" w:cs="Times New Roman"/>
          <w:color w:val="auto"/>
          <w:sz w:val="24"/>
          <w:szCs w:val="24"/>
        </w:rPr>
      </w:pPr>
    </w:p>
    <w:p w14:paraId="0C8B6E66">
      <w:pPr>
        <w:pStyle w:val="13"/>
        <w:rPr>
          <w:rFonts w:hint="default" w:ascii="Times New Roman" w:hAnsi="Times New Roman" w:eastAsia="仿宋" w:cs="Times New Roman"/>
          <w:color w:val="auto"/>
          <w:sz w:val="24"/>
          <w:szCs w:val="24"/>
        </w:rPr>
      </w:pPr>
    </w:p>
    <w:p w14:paraId="05F62AEA">
      <w:pPr>
        <w:pStyle w:val="13"/>
        <w:rPr>
          <w:rFonts w:hint="default" w:ascii="Times New Roman" w:hAnsi="Times New Roman" w:eastAsia="仿宋" w:cs="Times New Roman"/>
          <w:color w:val="auto"/>
          <w:sz w:val="24"/>
          <w:szCs w:val="24"/>
        </w:rPr>
      </w:pPr>
    </w:p>
    <w:p w14:paraId="60B3FD66">
      <w:pPr>
        <w:pStyle w:val="16"/>
        <w:rPr>
          <w:rFonts w:hint="default" w:ascii="Times New Roman" w:hAnsi="Times New Roman" w:eastAsia="仿宋" w:cs="Times New Roman"/>
          <w:color w:val="auto"/>
          <w:sz w:val="24"/>
          <w:szCs w:val="24"/>
        </w:rPr>
      </w:pPr>
    </w:p>
    <w:p w14:paraId="670DAB6D">
      <w:pPr>
        <w:pStyle w:val="13"/>
        <w:rPr>
          <w:rFonts w:hint="default"/>
        </w:rPr>
      </w:pPr>
    </w:p>
    <w:p w14:paraId="5F9EF0EE">
      <w:pPr>
        <w:rPr>
          <w:rFonts w:hint="default" w:ascii="Times New Roman" w:hAnsi="Times New Roman" w:eastAsia="仿宋" w:cs="Times New Roman"/>
          <w:color w:val="auto"/>
          <w:sz w:val="24"/>
          <w:szCs w:val="24"/>
        </w:rPr>
      </w:pPr>
    </w:p>
    <w:p w14:paraId="25D2CD24">
      <w:pPr>
        <w:pStyle w:val="10"/>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5A848AE7">
      <w:pPr>
        <w:pStyle w:val="10"/>
        <w:spacing w:line="360" w:lineRule="auto"/>
        <w:jc w:val="center"/>
        <w:rPr>
          <w:rFonts w:hint="default" w:ascii="Times New Roman" w:hAnsi="Times New Roman" w:eastAsia="仿宋" w:cs="Times New Roman"/>
          <w:b/>
          <w:snapToGrid w:val="0"/>
          <w:color w:val="auto"/>
          <w:kern w:val="0"/>
          <w:sz w:val="24"/>
          <w:szCs w:val="24"/>
        </w:rPr>
      </w:pPr>
    </w:p>
    <w:p w14:paraId="38BE94B2">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4EF2FD1F">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7"/>
        <w:tblW w:w="8009" w:type="dxa"/>
        <w:tblInd w:w="0" w:type="dxa"/>
        <w:tblLayout w:type="fixed"/>
        <w:tblCellMar>
          <w:top w:w="0" w:type="dxa"/>
          <w:left w:w="108" w:type="dxa"/>
          <w:bottom w:w="0" w:type="dxa"/>
          <w:right w:w="108" w:type="dxa"/>
        </w:tblCellMar>
      </w:tblPr>
      <w:tblGrid>
        <w:gridCol w:w="959"/>
        <w:gridCol w:w="1843"/>
        <w:gridCol w:w="4295"/>
        <w:gridCol w:w="912"/>
      </w:tblGrid>
      <w:tr w14:paraId="25AEF30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5BDC216C">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2D4642C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07F66B3A">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4B8C420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78D6844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B9161F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296C218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2A7DA11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0ED1EC8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2DDAFF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6E32C31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EAA596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75D1E4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41DF71F">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214816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0D403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B5D4AE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7B1AB46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258E8C3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533FCC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64AA2D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06D3E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41791F1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08C879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18006F7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0A3408E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51963750">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54C49A56">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2CD9440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4B83609">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5D712D35">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6B490957">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5132727D">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5CF74673">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388ACE0E">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171DDADF">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69B482A4">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E0B6858">
      <w:pPr>
        <w:pStyle w:val="3"/>
        <w:numPr>
          <w:ilvl w:val="1"/>
          <w:numId w:val="0"/>
        </w:numPr>
        <w:rPr>
          <w:rFonts w:hint="default" w:ascii="Times New Roman" w:hAnsi="Times New Roman"/>
          <w:lang w:val="zh-CN"/>
        </w:rPr>
      </w:pPr>
    </w:p>
    <w:p w14:paraId="0438C734">
      <w:pPr>
        <w:pStyle w:val="10"/>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6C080D2B">
      <w:pPr>
        <w:pStyle w:val="15"/>
        <w:rPr>
          <w:rFonts w:hint="default" w:ascii="Times New Roman" w:hAnsi="Times New Roman" w:eastAsia="仿宋" w:cs="Times New Roman"/>
          <w:color w:val="auto"/>
          <w:sz w:val="24"/>
          <w:szCs w:val="24"/>
          <w:lang w:val="zh-CN"/>
        </w:rPr>
      </w:pPr>
    </w:p>
    <w:p w14:paraId="112D83C9">
      <w:pPr>
        <w:spacing w:line="480" w:lineRule="exact"/>
        <w:jc w:val="center"/>
        <w:rPr>
          <w:rFonts w:hint="default" w:ascii="Times New Roman" w:hAnsi="Times New Roman" w:eastAsia="仿宋" w:cs="Times New Roman"/>
          <w:b/>
          <w:bCs/>
          <w:color w:val="auto"/>
          <w:sz w:val="24"/>
          <w:szCs w:val="24"/>
        </w:rPr>
      </w:pPr>
    </w:p>
    <w:p w14:paraId="08B959BC">
      <w:pPr>
        <w:pStyle w:val="10"/>
        <w:spacing w:line="360" w:lineRule="auto"/>
        <w:jc w:val="center"/>
        <w:rPr>
          <w:rFonts w:hint="default" w:ascii="Times New Roman" w:hAnsi="Times New Roman" w:eastAsia="仿宋" w:cs="Times New Roman"/>
          <w:b/>
          <w:snapToGrid w:val="0"/>
          <w:color w:val="auto"/>
          <w:kern w:val="0"/>
          <w:sz w:val="36"/>
          <w:szCs w:val="36"/>
          <w:lang w:eastAsia="zh-CN"/>
        </w:rPr>
      </w:pPr>
    </w:p>
    <w:p w14:paraId="4BA2C299">
      <w:pPr>
        <w:pStyle w:val="10"/>
        <w:spacing w:line="360" w:lineRule="auto"/>
        <w:jc w:val="center"/>
        <w:rPr>
          <w:rFonts w:hint="default" w:ascii="Times New Roman" w:hAnsi="Times New Roman" w:eastAsia="仿宋" w:cs="Times New Roman"/>
          <w:b/>
          <w:snapToGrid w:val="0"/>
          <w:color w:val="auto"/>
          <w:kern w:val="0"/>
          <w:sz w:val="36"/>
          <w:szCs w:val="36"/>
          <w:lang w:eastAsia="zh-CN"/>
        </w:rPr>
      </w:pPr>
    </w:p>
    <w:p w14:paraId="07BDB928">
      <w:pPr>
        <w:pStyle w:val="10"/>
        <w:spacing w:line="360" w:lineRule="auto"/>
        <w:jc w:val="center"/>
        <w:rPr>
          <w:rFonts w:hint="default" w:ascii="Times New Roman" w:hAnsi="Times New Roman" w:eastAsia="仿宋" w:cs="Times New Roman"/>
          <w:b/>
          <w:snapToGrid w:val="0"/>
          <w:color w:val="auto"/>
          <w:kern w:val="0"/>
          <w:sz w:val="36"/>
          <w:szCs w:val="36"/>
          <w:lang w:eastAsia="zh-CN"/>
        </w:rPr>
      </w:pPr>
    </w:p>
    <w:p w14:paraId="04542E94">
      <w:pPr>
        <w:pStyle w:val="10"/>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72A9D150">
      <w:pPr>
        <w:jc w:val="left"/>
        <w:rPr>
          <w:rFonts w:hint="default" w:ascii="Times New Roman" w:hAnsi="Times New Roman" w:eastAsia="仿宋" w:cs="Times New Roman"/>
          <w:b/>
          <w:bCs/>
          <w:color w:val="auto"/>
          <w:sz w:val="24"/>
          <w:szCs w:val="24"/>
        </w:rPr>
      </w:pPr>
    </w:p>
    <w:p w14:paraId="27067ECD">
      <w:pPr>
        <w:jc w:val="center"/>
        <w:rPr>
          <w:rFonts w:hint="default" w:ascii="Times New Roman" w:hAnsi="Times New Roman" w:eastAsia="仿宋" w:cs="Times New Roman"/>
          <w:b/>
          <w:bCs/>
          <w:color w:val="auto"/>
          <w:sz w:val="24"/>
          <w:szCs w:val="24"/>
          <w:lang w:val="en-US" w:eastAsia="zh-CN"/>
        </w:rPr>
      </w:pPr>
    </w:p>
    <w:p w14:paraId="0D763A27">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附营业执照等（或资产评估编制机构执业许可材料）</w:t>
      </w:r>
    </w:p>
    <w:p w14:paraId="3E3D759A">
      <w:pPr>
        <w:jc w:val="left"/>
        <w:rPr>
          <w:rFonts w:hint="default" w:ascii="Times New Roman" w:hAnsi="Times New Roman" w:eastAsia="仿宋" w:cs="Times New Roman"/>
          <w:b/>
          <w:bCs/>
          <w:color w:val="auto"/>
          <w:sz w:val="32"/>
          <w:szCs w:val="32"/>
        </w:rPr>
      </w:pPr>
    </w:p>
    <w:p w14:paraId="09286A9E">
      <w:pPr>
        <w:jc w:val="left"/>
        <w:rPr>
          <w:rFonts w:hint="default" w:ascii="Times New Roman" w:hAnsi="Times New Roman" w:eastAsia="仿宋" w:cs="Times New Roman"/>
          <w:b/>
          <w:bCs/>
          <w:color w:val="auto"/>
          <w:sz w:val="32"/>
          <w:szCs w:val="32"/>
        </w:rPr>
      </w:pPr>
    </w:p>
    <w:p w14:paraId="5CA2C05F">
      <w:pPr>
        <w:jc w:val="left"/>
        <w:rPr>
          <w:rFonts w:hint="default" w:ascii="Times New Roman" w:hAnsi="Times New Roman" w:eastAsia="仿宋" w:cs="Times New Roman"/>
          <w:b/>
          <w:bCs/>
          <w:color w:val="auto"/>
          <w:sz w:val="32"/>
          <w:szCs w:val="32"/>
        </w:rPr>
      </w:pPr>
    </w:p>
    <w:p w14:paraId="11EE52A4">
      <w:pPr>
        <w:jc w:val="left"/>
        <w:rPr>
          <w:rFonts w:hint="default" w:ascii="Times New Roman" w:hAnsi="Times New Roman" w:eastAsia="仿宋" w:cs="Times New Roman"/>
          <w:b/>
          <w:bCs/>
          <w:color w:val="auto"/>
          <w:sz w:val="24"/>
          <w:szCs w:val="24"/>
        </w:rPr>
      </w:pPr>
    </w:p>
    <w:p w14:paraId="0B79E70D">
      <w:pPr>
        <w:jc w:val="left"/>
        <w:rPr>
          <w:rFonts w:hint="default" w:ascii="Times New Roman" w:hAnsi="Times New Roman" w:eastAsia="仿宋" w:cs="Times New Roman"/>
          <w:b/>
          <w:bCs/>
          <w:color w:val="auto"/>
          <w:sz w:val="24"/>
          <w:szCs w:val="24"/>
        </w:rPr>
      </w:pPr>
    </w:p>
    <w:p w14:paraId="79B12B6F">
      <w:pPr>
        <w:jc w:val="left"/>
        <w:rPr>
          <w:rFonts w:hint="default" w:ascii="Times New Roman" w:hAnsi="Times New Roman" w:eastAsia="仿宋" w:cs="Times New Roman"/>
          <w:b/>
          <w:bCs/>
          <w:color w:val="auto"/>
          <w:sz w:val="24"/>
          <w:szCs w:val="24"/>
        </w:rPr>
      </w:pPr>
    </w:p>
    <w:p w14:paraId="78C7520C">
      <w:pPr>
        <w:jc w:val="left"/>
        <w:rPr>
          <w:rFonts w:hint="default" w:ascii="Times New Roman" w:hAnsi="Times New Roman" w:eastAsia="仿宋" w:cs="Times New Roman"/>
          <w:b/>
          <w:bCs/>
          <w:color w:val="auto"/>
          <w:sz w:val="24"/>
          <w:szCs w:val="24"/>
        </w:rPr>
      </w:pPr>
    </w:p>
    <w:p w14:paraId="2EF84A2D">
      <w:pPr>
        <w:jc w:val="left"/>
        <w:rPr>
          <w:rFonts w:hint="default" w:ascii="Times New Roman" w:hAnsi="Times New Roman" w:eastAsia="仿宋" w:cs="Times New Roman"/>
          <w:b/>
          <w:bCs/>
          <w:color w:val="auto"/>
          <w:sz w:val="24"/>
          <w:szCs w:val="24"/>
        </w:rPr>
      </w:pPr>
    </w:p>
    <w:p w14:paraId="46152186">
      <w:pPr>
        <w:jc w:val="left"/>
        <w:rPr>
          <w:rFonts w:hint="default" w:ascii="Times New Roman" w:hAnsi="Times New Roman" w:eastAsia="仿宋" w:cs="Times New Roman"/>
          <w:b/>
          <w:bCs/>
          <w:color w:val="auto"/>
          <w:sz w:val="24"/>
          <w:szCs w:val="24"/>
        </w:rPr>
      </w:pPr>
    </w:p>
    <w:p w14:paraId="72BE1F96">
      <w:pPr>
        <w:jc w:val="left"/>
        <w:rPr>
          <w:rFonts w:hint="default" w:ascii="Times New Roman" w:hAnsi="Times New Roman" w:eastAsia="仿宋" w:cs="Times New Roman"/>
          <w:b/>
          <w:bCs/>
          <w:color w:val="auto"/>
          <w:sz w:val="24"/>
          <w:szCs w:val="24"/>
        </w:rPr>
      </w:pPr>
    </w:p>
    <w:p w14:paraId="652DAC12">
      <w:pPr>
        <w:jc w:val="left"/>
        <w:rPr>
          <w:rFonts w:hint="default" w:ascii="Times New Roman" w:hAnsi="Times New Roman" w:eastAsia="仿宋" w:cs="Times New Roman"/>
          <w:b/>
          <w:bCs/>
          <w:color w:val="auto"/>
          <w:sz w:val="24"/>
          <w:szCs w:val="24"/>
        </w:rPr>
      </w:pPr>
    </w:p>
    <w:p w14:paraId="4E3FC40E">
      <w:pPr>
        <w:jc w:val="left"/>
        <w:rPr>
          <w:rFonts w:hint="default" w:ascii="Times New Roman" w:hAnsi="Times New Roman" w:eastAsia="仿宋" w:cs="Times New Roman"/>
          <w:b/>
          <w:bCs/>
          <w:color w:val="auto"/>
          <w:sz w:val="24"/>
          <w:szCs w:val="24"/>
        </w:rPr>
      </w:pPr>
    </w:p>
    <w:p w14:paraId="11B743B1">
      <w:pPr>
        <w:jc w:val="left"/>
        <w:rPr>
          <w:rFonts w:hint="default" w:ascii="Times New Roman" w:hAnsi="Times New Roman" w:eastAsia="仿宋" w:cs="Times New Roman"/>
          <w:b/>
          <w:bCs/>
          <w:color w:val="auto"/>
          <w:sz w:val="24"/>
          <w:szCs w:val="24"/>
        </w:rPr>
      </w:pPr>
    </w:p>
    <w:p w14:paraId="17E89AF2">
      <w:pPr>
        <w:jc w:val="left"/>
        <w:rPr>
          <w:rFonts w:hint="default" w:ascii="Times New Roman" w:hAnsi="Times New Roman" w:eastAsia="仿宋" w:cs="Times New Roman"/>
          <w:b/>
          <w:bCs/>
          <w:color w:val="auto"/>
          <w:sz w:val="24"/>
          <w:szCs w:val="24"/>
        </w:rPr>
      </w:pPr>
    </w:p>
    <w:p w14:paraId="33CE7B6B">
      <w:pPr>
        <w:jc w:val="left"/>
        <w:rPr>
          <w:rFonts w:hint="default" w:ascii="Times New Roman" w:hAnsi="Times New Roman" w:eastAsia="仿宋" w:cs="Times New Roman"/>
          <w:b/>
          <w:bCs/>
          <w:color w:val="auto"/>
          <w:sz w:val="24"/>
          <w:szCs w:val="24"/>
        </w:rPr>
      </w:pPr>
    </w:p>
    <w:p w14:paraId="4CC74C79">
      <w:pPr>
        <w:jc w:val="left"/>
        <w:rPr>
          <w:rFonts w:hint="default" w:ascii="Times New Roman" w:hAnsi="Times New Roman" w:eastAsia="仿宋" w:cs="Times New Roman"/>
          <w:b/>
          <w:bCs/>
          <w:color w:val="auto"/>
          <w:sz w:val="24"/>
          <w:szCs w:val="24"/>
        </w:rPr>
      </w:pPr>
    </w:p>
    <w:p w14:paraId="655C4A5E">
      <w:pPr>
        <w:jc w:val="left"/>
        <w:rPr>
          <w:rFonts w:hint="default" w:ascii="Times New Roman" w:hAnsi="Times New Roman" w:eastAsia="仿宋" w:cs="Times New Roman"/>
          <w:b/>
          <w:bCs/>
          <w:color w:val="auto"/>
          <w:sz w:val="24"/>
          <w:szCs w:val="24"/>
        </w:rPr>
      </w:pPr>
    </w:p>
    <w:p w14:paraId="3AA7AEFD">
      <w:pPr>
        <w:jc w:val="left"/>
        <w:rPr>
          <w:rFonts w:hint="default" w:ascii="Times New Roman" w:hAnsi="Times New Roman" w:eastAsia="仿宋" w:cs="Times New Roman"/>
          <w:b/>
          <w:bCs/>
          <w:color w:val="auto"/>
          <w:sz w:val="24"/>
          <w:szCs w:val="24"/>
        </w:rPr>
      </w:pPr>
    </w:p>
    <w:p w14:paraId="416DA48F">
      <w:pPr>
        <w:jc w:val="left"/>
        <w:rPr>
          <w:rFonts w:hint="default" w:ascii="Times New Roman" w:hAnsi="Times New Roman" w:eastAsia="仿宋" w:cs="Times New Roman"/>
          <w:b/>
          <w:bCs/>
          <w:color w:val="auto"/>
          <w:sz w:val="24"/>
          <w:szCs w:val="24"/>
        </w:rPr>
      </w:pPr>
    </w:p>
    <w:p w14:paraId="17C01224">
      <w:pPr>
        <w:jc w:val="left"/>
        <w:rPr>
          <w:rFonts w:hint="default" w:ascii="Times New Roman" w:hAnsi="Times New Roman" w:eastAsia="仿宋" w:cs="Times New Roman"/>
          <w:b/>
          <w:bCs/>
          <w:color w:val="auto"/>
          <w:sz w:val="24"/>
          <w:szCs w:val="24"/>
        </w:rPr>
      </w:pPr>
    </w:p>
    <w:p w14:paraId="5554EE62">
      <w:pPr>
        <w:jc w:val="left"/>
        <w:rPr>
          <w:rFonts w:hint="default" w:ascii="Times New Roman" w:hAnsi="Times New Roman" w:eastAsia="仿宋" w:cs="Times New Roman"/>
          <w:b/>
          <w:bCs/>
          <w:color w:val="auto"/>
          <w:sz w:val="24"/>
          <w:szCs w:val="24"/>
        </w:rPr>
      </w:pPr>
    </w:p>
    <w:p w14:paraId="4D2E9745">
      <w:pPr>
        <w:jc w:val="left"/>
        <w:rPr>
          <w:rFonts w:hint="default" w:ascii="Times New Roman" w:hAnsi="Times New Roman" w:eastAsia="仿宋" w:cs="Times New Roman"/>
          <w:b/>
          <w:bCs/>
          <w:color w:val="auto"/>
          <w:sz w:val="24"/>
          <w:szCs w:val="24"/>
        </w:rPr>
      </w:pPr>
    </w:p>
    <w:p w14:paraId="2A37648E">
      <w:pPr>
        <w:jc w:val="left"/>
        <w:rPr>
          <w:rFonts w:hint="default" w:ascii="Times New Roman" w:hAnsi="Times New Roman" w:eastAsia="仿宋" w:cs="Times New Roman"/>
          <w:b/>
          <w:bCs/>
          <w:color w:val="auto"/>
          <w:sz w:val="24"/>
          <w:szCs w:val="24"/>
        </w:rPr>
      </w:pPr>
    </w:p>
    <w:p w14:paraId="772FB24F">
      <w:pPr>
        <w:jc w:val="left"/>
        <w:rPr>
          <w:rFonts w:hint="default" w:ascii="Times New Roman" w:hAnsi="Times New Roman" w:eastAsia="仿宋" w:cs="Times New Roman"/>
          <w:b/>
          <w:bCs/>
          <w:color w:val="auto"/>
          <w:sz w:val="24"/>
          <w:szCs w:val="24"/>
        </w:rPr>
      </w:pPr>
    </w:p>
    <w:p w14:paraId="417F2B44">
      <w:pPr>
        <w:jc w:val="left"/>
        <w:rPr>
          <w:rFonts w:hint="default" w:ascii="Times New Roman" w:hAnsi="Times New Roman" w:eastAsia="仿宋" w:cs="Times New Roman"/>
          <w:b/>
          <w:bCs/>
          <w:color w:val="auto"/>
          <w:sz w:val="24"/>
          <w:szCs w:val="24"/>
        </w:rPr>
      </w:pPr>
    </w:p>
    <w:p w14:paraId="4E705B70">
      <w:pPr>
        <w:jc w:val="left"/>
        <w:rPr>
          <w:rFonts w:hint="default" w:ascii="Times New Roman" w:hAnsi="Times New Roman" w:eastAsia="仿宋" w:cs="Times New Roman"/>
          <w:b/>
          <w:bCs/>
          <w:color w:val="auto"/>
          <w:sz w:val="24"/>
          <w:szCs w:val="24"/>
        </w:rPr>
      </w:pPr>
    </w:p>
    <w:p w14:paraId="4D191991">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3BC83074">
      <w:pPr>
        <w:autoSpaceDE w:val="0"/>
        <w:autoSpaceDN w:val="0"/>
        <w:adjustRightInd w:val="0"/>
        <w:spacing w:line="360" w:lineRule="auto"/>
        <w:jc w:val="center"/>
        <w:rPr>
          <w:rFonts w:hint="default" w:ascii="Times New Roman" w:hAnsi="Times New Roman" w:eastAsia="仿宋" w:cs="Times New Roman"/>
          <w:b/>
          <w:bCs/>
          <w:sz w:val="24"/>
          <w:szCs w:val="24"/>
        </w:rPr>
      </w:pPr>
    </w:p>
    <w:p w14:paraId="2012DA14">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rPr>
        <w:t>许昌市城投发展集团有限公司</w:t>
      </w:r>
      <w:r>
        <w:rPr>
          <w:rFonts w:hint="default" w:ascii="Times New Roman" w:hAnsi="Times New Roman" w:eastAsia="仿宋" w:cs="Times New Roman"/>
          <w:color w:val="000000"/>
          <w:kern w:val="0"/>
          <w:sz w:val="28"/>
          <w:szCs w:val="28"/>
          <w:lang w:val="en-US" w:eastAsia="zh-CN" w:bidi="ar"/>
        </w:rPr>
        <w:t xml:space="preserve">： </w:t>
      </w:r>
    </w:p>
    <w:p w14:paraId="4964EC3C">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10E36611">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68F4E01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0955590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6817C7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18C1649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资产评估编制法规，依法诚信经营，无条件遵守本次比选活动的各项规定，我单位（本人）郑重承诺，我单位符合《中华人民共和国政府采购法》第二十二条规定和招标文件、本承诺书的条件： </w:t>
      </w:r>
    </w:p>
    <w:p w14:paraId="3EDA1BA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6463B58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148CEF9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3545C510">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（四）符合资产评估编制、行政法规规定的其他条件。</w:t>
      </w:r>
    </w:p>
    <w:p w14:paraId="674474F0">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（五）未被中国银行间市场交易商协会取消、暂停会员资格或出现被处罚等影响本次资产评估编制能力的情况。</w:t>
      </w:r>
    </w:p>
    <w:p w14:paraId="270CAD6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
        <w:t xml:space="preserve">。 </w:t>
      </w:r>
    </w:p>
    <w:p w14:paraId="18E6E35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431FF32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14F43888">
      <w:pPr>
        <w:jc w:val="center"/>
        <w:rPr>
          <w:rFonts w:hint="default" w:ascii="Times New Roman" w:hAnsi="Times New Roman" w:eastAsia="仿宋_GB2312" w:cs="Times New Roman"/>
          <w:b/>
          <w:bCs/>
          <w:sz w:val="32"/>
          <w:szCs w:val="32"/>
          <w:lang w:val="en-US" w:eastAsia="zh-CN"/>
        </w:rPr>
      </w:pPr>
    </w:p>
    <w:p w14:paraId="2BD14E68">
      <w:pPr>
        <w:jc w:val="center"/>
        <w:rPr>
          <w:rFonts w:hint="default" w:ascii="Times New Roman" w:hAnsi="Times New Roman" w:eastAsia="仿宋_GB2312" w:cs="Times New Roman"/>
          <w:b/>
          <w:bCs/>
          <w:sz w:val="32"/>
          <w:szCs w:val="32"/>
          <w:lang w:val="en-US" w:eastAsia="zh-CN"/>
        </w:rPr>
      </w:pPr>
    </w:p>
    <w:p w14:paraId="38CB29CC">
      <w:pPr>
        <w:jc w:val="center"/>
        <w:rPr>
          <w:rFonts w:hint="default" w:ascii="Times New Roman" w:hAnsi="Times New Roman" w:eastAsia="仿宋_GB2312" w:cs="Times New Roman"/>
          <w:b/>
          <w:bCs/>
          <w:sz w:val="32"/>
          <w:szCs w:val="32"/>
          <w:lang w:val="en-US" w:eastAsia="zh-CN"/>
        </w:rPr>
      </w:pPr>
    </w:p>
    <w:p w14:paraId="74313D28">
      <w:pPr>
        <w:jc w:val="center"/>
        <w:rPr>
          <w:rFonts w:hint="default" w:ascii="Times New Roman" w:hAnsi="Times New Roman" w:eastAsia="仿宋_GB2312" w:cs="Times New Roman"/>
          <w:b/>
          <w:bCs/>
          <w:sz w:val="32"/>
          <w:szCs w:val="32"/>
          <w:lang w:val="en-US" w:eastAsia="zh-CN"/>
        </w:rPr>
      </w:pPr>
    </w:p>
    <w:p w14:paraId="7E969601">
      <w:pPr>
        <w:jc w:val="center"/>
        <w:rPr>
          <w:rFonts w:hint="default" w:ascii="Times New Roman" w:hAnsi="Times New Roman" w:eastAsia="仿宋_GB2312" w:cs="Times New Roman"/>
          <w:b/>
          <w:bCs/>
          <w:sz w:val="32"/>
          <w:szCs w:val="32"/>
          <w:lang w:val="en-US" w:eastAsia="zh-CN"/>
        </w:rPr>
      </w:pPr>
    </w:p>
    <w:p w14:paraId="7B8BD417">
      <w:pPr>
        <w:jc w:val="center"/>
        <w:rPr>
          <w:rFonts w:hint="default" w:ascii="Times New Roman" w:hAnsi="Times New Roman" w:eastAsia="仿宋_GB2312" w:cs="Times New Roman"/>
          <w:b/>
          <w:bCs/>
          <w:sz w:val="32"/>
          <w:szCs w:val="32"/>
          <w:lang w:val="en-US" w:eastAsia="zh-CN"/>
        </w:rPr>
      </w:pPr>
    </w:p>
    <w:p w14:paraId="49CC77ED">
      <w:pPr>
        <w:jc w:val="center"/>
        <w:rPr>
          <w:rFonts w:hint="default" w:ascii="Times New Roman" w:hAnsi="Times New Roman" w:eastAsia="仿宋_GB2312" w:cs="Times New Roman"/>
          <w:b/>
          <w:bCs/>
          <w:sz w:val="32"/>
          <w:szCs w:val="32"/>
          <w:lang w:val="en-US" w:eastAsia="zh-CN"/>
        </w:rPr>
      </w:pPr>
    </w:p>
    <w:p w14:paraId="252FB46D">
      <w:pPr>
        <w:jc w:val="center"/>
        <w:rPr>
          <w:rFonts w:hint="default" w:ascii="Times New Roman" w:hAnsi="Times New Roman" w:eastAsia="仿宋_GB2312" w:cs="Times New Roman"/>
          <w:b/>
          <w:bCs/>
          <w:sz w:val="32"/>
          <w:szCs w:val="32"/>
          <w:lang w:val="en-US" w:eastAsia="zh-CN"/>
        </w:rPr>
      </w:pPr>
    </w:p>
    <w:p w14:paraId="654C20B7">
      <w:pPr>
        <w:jc w:val="center"/>
        <w:rPr>
          <w:rFonts w:hint="default" w:ascii="Times New Roman" w:hAnsi="Times New Roman" w:eastAsia="仿宋_GB2312" w:cs="Times New Roman"/>
          <w:b/>
          <w:bCs/>
          <w:sz w:val="32"/>
          <w:szCs w:val="32"/>
          <w:lang w:val="en-US" w:eastAsia="zh-CN"/>
        </w:rPr>
      </w:pPr>
    </w:p>
    <w:p w14:paraId="31293E73">
      <w:pPr>
        <w:jc w:val="center"/>
        <w:rPr>
          <w:rFonts w:hint="default" w:ascii="Times New Roman" w:hAnsi="Times New Roman" w:eastAsia="仿宋_GB2312" w:cs="Times New Roman"/>
          <w:b/>
          <w:bCs/>
          <w:sz w:val="32"/>
          <w:szCs w:val="32"/>
          <w:lang w:val="en-US" w:eastAsia="zh-CN"/>
        </w:rPr>
      </w:pPr>
    </w:p>
    <w:p w14:paraId="09C827AC">
      <w:pPr>
        <w:jc w:val="center"/>
        <w:rPr>
          <w:rFonts w:hint="default" w:ascii="Times New Roman" w:hAnsi="Times New Roman" w:eastAsia="仿宋_GB2312" w:cs="Times New Roman"/>
          <w:b/>
          <w:bCs/>
          <w:sz w:val="32"/>
          <w:szCs w:val="32"/>
          <w:lang w:val="en-US" w:eastAsia="zh-CN"/>
        </w:rPr>
      </w:pPr>
    </w:p>
    <w:p w14:paraId="7F84739C">
      <w:pPr>
        <w:jc w:val="center"/>
        <w:rPr>
          <w:rFonts w:hint="default" w:ascii="Times New Roman" w:hAnsi="Times New Roman" w:eastAsia="仿宋_GB2312" w:cs="Times New Roman"/>
          <w:b/>
          <w:bCs/>
          <w:sz w:val="32"/>
          <w:szCs w:val="32"/>
          <w:lang w:val="en-US" w:eastAsia="zh-CN"/>
        </w:rPr>
      </w:pPr>
    </w:p>
    <w:p w14:paraId="5E427E33">
      <w:pPr>
        <w:jc w:val="center"/>
        <w:rPr>
          <w:rFonts w:hint="default" w:ascii="Times New Roman" w:hAnsi="Times New Roman" w:eastAsia="仿宋_GB2312" w:cs="Times New Roman"/>
          <w:b/>
          <w:bCs/>
          <w:sz w:val="32"/>
          <w:szCs w:val="32"/>
          <w:lang w:val="en-US" w:eastAsia="zh-CN"/>
        </w:rPr>
      </w:pPr>
    </w:p>
    <w:p w14:paraId="20128C2D">
      <w:pPr>
        <w:jc w:val="center"/>
        <w:rPr>
          <w:rFonts w:hint="default" w:ascii="Times New Roman" w:hAnsi="Times New Roman" w:eastAsia="仿宋_GB2312" w:cs="Times New Roman"/>
          <w:b/>
          <w:bCs/>
          <w:sz w:val="32"/>
          <w:szCs w:val="32"/>
          <w:lang w:val="en-US" w:eastAsia="zh-CN"/>
        </w:rPr>
      </w:pPr>
    </w:p>
    <w:p w14:paraId="3E5D4804">
      <w:pPr>
        <w:jc w:val="center"/>
        <w:rPr>
          <w:rFonts w:hint="default" w:ascii="Times New Roman" w:hAnsi="Times New Roman" w:eastAsia="仿宋_GB2312" w:cs="Times New Roman"/>
          <w:b/>
          <w:bCs/>
          <w:sz w:val="32"/>
          <w:szCs w:val="32"/>
          <w:lang w:val="en-US" w:eastAsia="zh-CN"/>
        </w:rPr>
      </w:pPr>
    </w:p>
    <w:p w14:paraId="37B1B2D3">
      <w:pPr>
        <w:jc w:val="center"/>
        <w:rPr>
          <w:rFonts w:hint="default" w:ascii="Times New Roman" w:hAnsi="Times New Roman" w:eastAsia="仿宋_GB2312" w:cs="Times New Roman"/>
          <w:b/>
          <w:bCs/>
          <w:sz w:val="32"/>
          <w:szCs w:val="32"/>
          <w:lang w:val="en-US" w:eastAsia="zh-CN"/>
        </w:rPr>
      </w:pPr>
    </w:p>
    <w:p w14:paraId="00320FFB">
      <w:pPr>
        <w:jc w:val="center"/>
        <w:rPr>
          <w:rFonts w:hint="default" w:ascii="Times New Roman" w:hAnsi="Times New Roman" w:eastAsia="仿宋_GB2312" w:cs="Times New Roman"/>
          <w:b/>
          <w:bCs/>
          <w:sz w:val="32"/>
          <w:szCs w:val="32"/>
          <w:lang w:val="en-US" w:eastAsia="zh-CN"/>
        </w:rPr>
      </w:pPr>
    </w:p>
    <w:p w14:paraId="5353A898">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27C2145D">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23638B8">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69B13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183F0849">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8B86F0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5AFF8FC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8812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ED2101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6B9E10D9">
      <w:pPr>
        <w:ind w:firstLine="6400" w:firstLineChars="2000"/>
        <w:rPr>
          <w:rFonts w:hint="default" w:ascii="Times New Roman" w:hAnsi="Times New Roman" w:eastAsia="仿宋_GB2312" w:cs="Times New Roman"/>
          <w:sz w:val="32"/>
          <w:szCs w:val="32"/>
        </w:rPr>
      </w:pPr>
    </w:p>
    <w:p w14:paraId="6DC4FD5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5C9B781F">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2E49AFCA">
      <w:pPr>
        <w:pStyle w:val="10"/>
        <w:spacing w:line="360" w:lineRule="auto"/>
        <w:jc w:val="both"/>
        <w:rPr>
          <w:rFonts w:hint="default" w:ascii="Times New Roman" w:hAnsi="Times New Roman" w:eastAsia="仿宋" w:cs="Times New Roman"/>
          <w:b/>
          <w:snapToGrid w:val="0"/>
          <w:color w:val="auto"/>
          <w:kern w:val="0"/>
          <w:sz w:val="36"/>
          <w:szCs w:val="36"/>
          <w:lang w:val="zh-CN" w:eastAsia="zh-CN"/>
        </w:rPr>
      </w:pPr>
    </w:p>
    <w:p w14:paraId="6BBD9A69">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5FC0577A">
      <w:pPr>
        <w:pStyle w:val="10"/>
        <w:spacing w:line="360" w:lineRule="auto"/>
        <w:jc w:val="both"/>
        <w:rPr>
          <w:rFonts w:hint="default" w:ascii="Times New Roman" w:hAnsi="Times New Roman" w:eastAsia="仿宋" w:cs="Times New Roman"/>
          <w:b/>
          <w:bCs/>
          <w:color w:val="auto"/>
          <w:sz w:val="28"/>
          <w:szCs w:val="28"/>
          <w:highlight w:val="none"/>
          <w:lang w:val="en-US" w:eastAsia="zh-CN"/>
        </w:rPr>
      </w:pPr>
    </w:p>
    <w:p w14:paraId="565DEF59">
      <w:pPr>
        <w:pStyle w:val="10"/>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54BB9E4D">
      <w:pPr>
        <w:pStyle w:val="10"/>
        <w:spacing w:line="360" w:lineRule="auto"/>
        <w:jc w:val="center"/>
        <w:rPr>
          <w:rFonts w:hint="default" w:ascii="Times New Roman" w:hAnsi="Times New Roman" w:eastAsia="仿宋" w:cs="Times New Roman"/>
          <w:b/>
          <w:bCs/>
          <w:color w:val="auto"/>
          <w:sz w:val="28"/>
          <w:szCs w:val="28"/>
          <w:highlight w:val="none"/>
          <w:lang w:val="en-US" w:eastAsia="zh-CN"/>
        </w:rPr>
      </w:pPr>
    </w:p>
    <w:p w14:paraId="0852FD8A">
      <w:pPr>
        <w:pStyle w:val="10"/>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0D4A28BF">
      <w:pPr>
        <w:pStyle w:val="10"/>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资产评估编制</w:t>
      </w:r>
      <w:r>
        <w:rPr>
          <w:rFonts w:hint="default" w:ascii="Times New Roman" w:hAnsi="Times New Roman" w:eastAsia="仿宋" w:cs="Times New Roman"/>
          <w:b/>
          <w:bCs/>
          <w:color w:val="auto"/>
          <w:sz w:val="28"/>
          <w:szCs w:val="28"/>
          <w:highlight w:val="none"/>
          <w:lang w:val="zh-CN"/>
        </w:rPr>
        <w:t>从业资格证明文件）</w:t>
      </w:r>
    </w:p>
    <w:p w14:paraId="1D9FACFE">
      <w:pPr>
        <w:pStyle w:val="10"/>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221D983">
      <w:pPr>
        <w:pStyle w:val="10"/>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0FDA2B93">
      <w:pPr>
        <w:pStyle w:val="10"/>
        <w:spacing w:line="360" w:lineRule="auto"/>
        <w:jc w:val="center"/>
        <w:rPr>
          <w:rFonts w:hint="default" w:ascii="Times New Roman" w:hAnsi="Times New Roman" w:eastAsia="仿宋" w:cs="Times New Roman"/>
          <w:b/>
          <w:bCs/>
          <w:color w:val="auto"/>
          <w:sz w:val="28"/>
          <w:szCs w:val="28"/>
          <w:highlight w:val="none"/>
        </w:rPr>
      </w:pPr>
    </w:p>
    <w:p w14:paraId="7738738F">
      <w:pPr>
        <w:pStyle w:val="10"/>
        <w:spacing w:line="360" w:lineRule="auto"/>
        <w:jc w:val="center"/>
        <w:rPr>
          <w:rFonts w:hint="default" w:ascii="Times New Roman" w:hAnsi="Times New Roman" w:eastAsia="仿宋" w:cs="Times New Roman"/>
          <w:b/>
          <w:bCs/>
          <w:color w:val="auto"/>
          <w:sz w:val="28"/>
          <w:szCs w:val="28"/>
          <w:highlight w:val="none"/>
        </w:rPr>
      </w:pPr>
    </w:p>
    <w:p w14:paraId="02B164B7">
      <w:pPr>
        <w:pStyle w:val="10"/>
        <w:spacing w:line="360" w:lineRule="auto"/>
        <w:jc w:val="center"/>
        <w:rPr>
          <w:rFonts w:hint="default" w:ascii="Times New Roman" w:hAnsi="Times New Roman" w:eastAsia="仿宋" w:cs="Times New Roman"/>
          <w:b/>
          <w:bCs/>
          <w:color w:val="auto"/>
          <w:sz w:val="28"/>
          <w:szCs w:val="28"/>
          <w:highlight w:val="none"/>
        </w:rPr>
      </w:pPr>
    </w:p>
    <w:p w14:paraId="7272815D">
      <w:pPr>
        <w:rPr>
          <w:rFonts w:hint="default" w:ascii="Times New Roman" w:hAnsi="Times New Roman" w:eastAsia="仿宋" w:cs="Times New Roman"/>
          <w:color w:val="auto"/>
          <w:sz w:val="20"/>
          <w:szCs w:val="18"/>
          <w:highlight w:val="none"/>
        </w:rPr>
      </w:pPr>
    </w:p>
    <w:p w14:paraId="1E3528E1">
      <w:pPr>
        <w:pStyle w:val="10"/>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5.2资产评估编制方案</w:t>
      </w:r>
    </w:p>
    <w:p w14:paraId="7CBDCD1A">
      <w:pPr>
        <w:pStyle w:val="10"/>
        <w:spacing w:line="360" w:lineRule="auto"/>
        <w:jc w:val="center"/>
        <w:rPr>
          <w:rFonts w:hint="default" w:ascii="Times New Roman" w:hAnsi="Times New Roman" w:eastAsia="仿宋" w:cs="Times New Roman"/>
          <w:b/>
          <w:bCs/>
          <w:color w:val="auto"/>
          <w:sz w:val="28"/>
          <w:szCs w:val="28"/>
          <w:highlight w:val="none"/>
        </w:rPr>
      </w:pPr>
    </w:p>
    <w:p w14:paraId="6F46EE4A">
      <w:pPr>
        <w:pStyle w:val="10"/>
        <w:spacing w:line="360" w:lineRule="auto"/>
        <w:jc w:val="both"/>
        <w:rPr>
          <w:rFonts w:hint="default" w:ascii="Times New Roman" w:hAnsi="Times New Roman" w:eastAsia="仿宋" w:cs="Times New Roman"/>
          <w:b/>
          <w:bCs/>
          <w:color w:val="auto"/>
          <w:sz w:val="28"/>
          <w:szCs w:val="28"/>
          <w:highlight w:val="none"/>
        </w:rPr>
      </w:pPr>
    </w:p>
    <w:p w14:paraId="569758C9">
      <w:pPr>
        <w:pStyle w:val="10"/>
        <w:spacing w:line="360" w:lineRule="auto"/>
        <w:jc w:val="both"/>
        <w:rPr>
          <w:rFonts w:hint="default" w:ascii="Times New Roman" w:hAnsi="Times New Roman" w:eastAsia="仿宋" w:cs="Times New Roman"/>
          <w:b/>
          <w:bCs/>
          <w:color w:val="auto"/>
          <w:sz w:val="28"/>
          <w:szCs w:val="28"/>
          <w:highlight w:val="none"/>
        </w:rPr>
      </w:pPr>
    </w:p>
    <w:p w14:paraId="16D6AFEF">
      <w:pPr>
        <w:pStyle w:val="10"/>
        <w:spacing w:line="360" w:lineRule="auto"/>
        <w:jc w:val="both"/>
        <w:rPr>
          <w:rFonts w:hint="default" w:ascii="Times New Roman" w:hAnsi="Times New Roman" w:eastAsia="仿宋" w:cs="Times New Roman"/>
          <w:b/>
          <w:bCs/>
          <w:color w:val="auto"/>
          <w:sz w:val="28"/>
          <w:szCs w:val="28"/>
          <w:highlight w:val="none"/>
        </w:rPr>
      </w:pPr>
    </w:p>
    <w:p w14:paraId="59538A13">
      <w:pPr>
        <w:pStyle w:val="10"/>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5.3资产评估编制证明材料</w:t>
      </w:r>
    </w:p>
    <w:p w14:paraId="493EA165">
      <w:pPr>
        <w:pStyle w:val="10"/>
        <w:spacing w:line="360" w:lineRule="auto"/>
        <w:jc w:val="center"/>
        <w:rPr>
          <w:rFonts w:hint="default" w:ascii="Times New Roman" w:hAnsi="Times New Roman" w:eastAsia="仿宋" w:cs="Times New Roman"/>
          <w:b/>
          <w:bCs/>
          <w:color w:val="auto"/>
          <w:sz w:val="28"/>
          <w:szCs w:val="28"/>
          <w:highlight w:val="none"/>
          <w:lang w:val="zh-CN"/>
        </w:rPr>
      </w:pPr>
    </w:p>
    <w:p w14:paraId="780122C2">
      <w:pPr>
        <w:pStyle w:val="10"/>
        <w:spacing w:line="360" w:lineRule="auto"/>
        <w:jc w:val="center"/>
        <w:rPr>
          <w:rFonts w:hint="default" w:ascii="Times New Roman" w:hAnsi="Times New Roman" w:eastAsia="仿宋" w:cs="Times New Roman"/>
          <w:b/>
          <w:bCs/>
          <w:color w:val="auto"/>
          <w:sz w:val="28"/>
          <w:szCs w:val="28"/>
          <w:highlight w:val="none"/>
          <w:lang w:val="zh-CN"/>
        </w:rPr>
      </w:pPr>
    </w:p>
    <w:p w14:paraId="2FC83AA2">
      <w:pPr>
        <w:pStyle w:val="10"/>
        <w:spacing w:line="360" w:lineRule="auto"/>
        <w:jc w:val="center"/>
        <w:rPr>
          <w:rFonts w:hint="default" w:ascii="Times New Roman" w:hAnsi="Times New Roman" w:eastAsia="仿宋" w:cs="Times New Roman"/>
          <w:b/>
          <w:bCs/>
          <w:color w:val="auto"/>
          <w:sz w:val="28"/>
          <w:szCs w:val="28"/>
          <w:highlight w:val="none"/>
          <w:lang w:val="zh-CN"/>
        </w:rPr>
      </w:pPr>
    </w:p>
    <w:p w14:paraId="0A28D998">
      <w:pPr>
        <w:pStyle w:val="10"/>
        <w:spacing w:line="360" w:lineRule="auto"/>
        <w:jc w:val="center"/>
        <w:rPr>
          <w:rFonts w:hint="default" w:ascii="Times New Roman" w:hAnsi="Times New Roman" w:eastAsia="仿宋" w:cs="Times New Roman"/>
          <w:b/>
          <w:bCs/>
          <w:color w:val="auto"/>
          <w:sz w:val="28"/>
          <w:szCs w:val="28"/>
          <w:highlight w:val="none"/>
          <w:lang w:val="zh-CN"/>
        </w:rPr>
      </w:pPr>
    </w:p>
    <w:p w14:paraId="6545EEBD">
      <w:pPr>
        <w:pStyle w:val="10"/>
        <w:spacing w:line="360" w:lineRule="auto"/>
        <w:jc w:val="center"/>
        <w:rPr>
          <w:rFonts w:hint="default" w:ascii="Times New Roman" w:hAnsi="Times New Roman" w:eastAsia="仿宋" w:cs="Times New Roman"/>
          <w:b/>
          <w:bCs/>
          <w:color w:val="auto"/>
          <w:sz w:val="28"/>
          <w:szCs w:val="28"/>
          <w:highlight w:val="none"/>
          <w:lang w:val="en-US" w:eastAsia="zh-CN"/>
        </w:rPr>
      </w:pPr>
    </w:p>
    <w:p w14:paraId="0BB690F3">
      <w:pPr>
        <w:pStyle w:val="10"/>
        <w:spacing w:line="360" w:lineRule="auto"/>
        <w:jc w:val="center"/>
        <w:rPr>
          <w:rFonts w:hint="default" w:ascii="Times New Roman" w:hAnsi="Times New Roman" w:eastAsia="仿宋" w:cs="Times New Roman"/>
          <w:b/>
          <w:bCs/>
          <w:color w:val="auto"/>
          <w:sz w:val="28"/>
          <w:szCs w:val="28"/>
          <w:highlight w:val="none"/>
          <w:lang w:val="en-US" w:eastAsia="zh-CN"/>
        </w:rPr>
      </w:pPr>
    </w:p>
    <w:p w14:paraId="516C0FC6">
      <w:pPr>
        <w:pStyle w:val="10"/>
        <w:spacing w:line="360" w:lineRule="auto"/>
        <w:jc w:val="center"/>
        <w:rPr>
          <w:rFonts w:hint="default" w:ascii="Times New Roman" w:hAnsi="Times New Roman" w:eastAsia="仿宋" w:cs="Times New Roman"/>
          <w:b/>
          <w:bCs/>
          <w:color w:val="auto"/>
          <w:sz w:val="28"/>
          <w:szCs w:val="28"/>
          <w:highlight w:val="none"/>
          <w:lang w:val="en-US" w:eastAsia="zh-CN"/>
        </w:rPr>
      </w:pPr>
    </w:p>
    <w:p w14:paraId="349AB41F">
      <w:pPr>
        <w:pStyle w:val="10"/>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613DBD10">
      <w:pPr>
        <w:pStyle w:val="10"/>
        <w:spacing w:line="360" w:lineRule="auto"/>
        <w:jc w:val="center"/>
        <w:rPr>
          <w:rFonts w:hint="default" w:ascii="Times New Roman" w:hAnsi="Times New Roman" w:eastAsia="仿宋" w:cs="Times New Roman"/>
          <w:b/>
          <w:bCs/>
          <w:color w:val="auto"/>
          <w:sz w:val="28"/>
          <w:szCs w:val="28"/>
          <w:highlight w:val="none"/>
        </w:rPr>
      </w:pPr>
    </w:p>
    <w:p w14:paraId="2E70C3DE">
      <w:pPr>
        <w:pStyle w:val="10"/>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6F4E0C36">
      <w:pPr>
        <w:rPr>
          <w:rFonts w:hint="default" w:ascii="Times New Roman" w:hAnsi="Times New Roman" w:eastAsia="仿宋" w:cs="Times New Roman"/>
          <w:color w:val="auto"/>
          <w:sz w:val="20"/>
          <w:szCs w:val="18"/>
          <w:highlight w:val="none"/>
        </w:rPr>
      </w:pPr>
    </w:p>
    <w:p w14:paraId="55C62F62">
      <w:pPr>
        <w:rPr>
          <w:rFonts w:hint="default" w:ascii="Times New Roman" w:hAnsi="Times New Roman" w:eastAsia="仿宋" w:cs="Times New Roman"/>
          <w:color w:val="auto"/>
          <w:sz w:val="20"/>
          <w:szCs w:val="18"/>
          <w:highlight w:val="none"/>
        </w:rPr>
      </w:pPr>
    </w:p>
    <w:p w14:paraId="4F5122C3">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519DFC0B">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9985349">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9AE5C9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8E1D0A4">
      <w:r>
        <w:rPr>
          <w:rFonts w:hint="default" w:ascii="Times New Roman" w:hAnsi="Times New Roman" w:eastAsia="仿宋" w:cs="Times New Roman"/>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 w:cs="Times New Roman"/>
          <w:b/>
          <w:color w:val="auto"/>
          <w:sz w:val="36"/>
          <w:szCs w:val="36"/>
          <w:shd w:val="clear" w:color="060000" w:fill="auto"/>
          <w:lang w:val="en-US" w:eastAsia="zh-CN"/>
        </w:rPr>
        <w:t>比选</w:t>
      </w:r>
      <w:r>
        <w:rPr>
          <w:rFonts w:hint="default" w:ascii="Times New Roman" w:hAnsi="Times New Roman" w:eastAsia="仿宋" w:cs="Times New Roman"/>
          <w:b/>
          <w:color w:val="auto"/>
          <w:sz w:val="36"/>
          <w:szCs w:val="36"/>
          <w:shd w:val="clear" w:color="060000" w:fill="auto"/>
          <w:lang w:eastAsia="zh-CN"/>
        </w:rPr>
        <w:t>人有权拒绝接收。</w:t>
      </w:r>
    </w:p>
    <w:p w14:paraId="1C0EBB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2132">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0BF0">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64B9F9">
                          <w:pPr>
                            <w:pStyle w:val="11"/>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6864B9F9">
                    <w:pPr>
                      <w:pStyle w:val="11"/>
                    </w:pPr>
                    <w:r>
                      <w:fldChar w:fldCharType="begin"/>
                    </w:r>
                    <w:r>
                      <w:instrText xml:space="preserve"> PAGE  \* MERGEFORMAT </w:instrText>
                    </w:r>
                    <w:r>
                      <w:fldChar w:fldCharType="separate"/>
                    </w:r>
                    <w:r>
                      <w:t>0</w:t>
                    </w:r>
                    <w:r>
                      <w:fldChar w:fldCharType="end"/>
                    </w:r>
                  </w:p>
                </w:txbxContent>
              </v:textbox>
            </v:shape>
          </w:pict>
        </mc:Fallback>
      </mc:AlternateContent>
    </w:r>
  </w:p>
  <w:p w14:paraId="177A6976">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9"/>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124A72"/>
    <w:rsid w:val="00E97C2E"/>
    <w:rsid w:val="00F31039"/>
    <w:rsid w:val="014556BE"/>
    <w:rsid w:val="021122B5"/>
    <w:rsid w:val="02FC45A7"/>
    <w:rsid w:val="03745329"/>
    <w:rsid w:val="04021749"/>
    <w:rsid w:val="04F63CC2"/>
    <w:rsid w:val="059D30B6"/>
    <w:rsid w:val="06104A21"/>
    <w:rsid w:val="068B1EC9"/>
    <w:rsid w:val="06B20120"/>
    <w:rsid w:val="06D724C4"/>
    <w:rsid w:val="08493BE3"/>
    <w:rsid w:val="085A5FF7"/>
    <w:rsid w:val="085B3B1D"/>
    <w:rsid w:val="0949606C"/>
    <w:rsid w:val="095A3DD5"/>
    <w:rsid w:val="09B07B60"/>
    <w:rsid w:val="09DE0417"/>
    <w:rsid w:val="0BD37268"/>
    <w:rsid w:val="0D9440D3"/>
    <w:rsid w:val="0F004A9B"/>
    <w:rsid w:val="0F791428"/>
    <w:rsid w:val="10582F8A"/>
    <w:rsid w:val="10DE4F69"/>
    <w:rsid w:val="115B06EA"/>
    <w:rsid w:val="117F087D"/>
    <w:rsid w:val="119460F8"/>
    <w:rsid w:val="12B409FA"/>
    <w:rsid w:val="1360023A"/>
    <w:rsid w:val="13AC324E"/>
    <w:rsid w:val="14D507B4"/>
    <w:rsid w:val="15363948"/>
    <w:rsid w:val="154560A5"/>
    <w:rsid w:val="1552390B"/>
    <w:rsid w:val="15D429B5"/>
    <w:rsid w:val="170B7290"/>
    <w:rsid w:val="1A7C6919"/>
    <w:rsid w:val="1CDF304C"/>
    <w:rsid w:val="1D835251"/>
    <w:rsid w:val="1E480248"/>
    <w:rsid w:val="1EB84FB4"/>
    <w:rsid w:val="21B26A88"/>
    <w:rsid w:val="21ED538F"/>
    <w:rsid w:val="22130EA0"/>
    <w:rsid w:val="23B44CBF"/>
    <w:rsid w:val="23F8720B"/>
    <w:rsid w:val="25586B85"/>
    <w:rsid w:val="258424AE"/>
    <w:rsid w:val="25846482"/>
    <w:rsid w:val="258B3AF2"/>
    <w:rsid w:val="259020DD"/>
    <w:rsid w:val="259E56DA"/>
    <w:rsid w:val="25EB1F94"/>
    <w:rsid w:val="26B47885"/>
    <w:rsid w:val="281643D6"/>
    <w:rsid w:val="2895379B"/>
    <w:rsid w:val="29EF3C6E"/>
    <w:rsid w:val="29F554B9"/>
    <w:rsid w:val="2AA76515"/>
    <w:rsid w:val="2BCE666F"/>
    <w:rsid w:val="2BE302F2"/>
    <w:rsid w:val="2C0D6146"/>
    <w:rsid w:val="2D3D3A92"/>
    <w:rsid w:val="2D7050C6"/>
    <w:rsid w:val="2E4862BB"/>
    <w:rsid w:val="2E792F7A"/>
    <w:rsid w:val="2F316D31"/>
    <w:rsid w:val="307534E3"/>
    <w:rsid w:val="30C51A99"/>
    <w:rsid w:val="30E72C79"/>
    <w:rsid w:val="310444A3"/>
    <w:rsid w:val="318B0720"/>
    <w:rsid w:val="31A43590"/>
    <w:rsid w:val="32284BF5"/>
    <w:rsid w:val="32382BF4"/>
    <w:rsid w:val="336103AA"/>
    <w:rsid w:val="34271139"/>
    <w:rsid w:val="3619097D"/>
    <w:rsid w:val="3687595A"/>
    <w:rsid w:val="37BE184F"/>
    <w:rsid w:val="381E22EE"/>
    <w:rsid w:val="38507FCD"/>
    <w:rsid w:val="39E0694B"/>
    <w:rsid w:val="3A190FBF"/>
    <w:rsid w:val="3A7941B3"/>
    <w:rsid w:val="3A8F74D3"/>
    <w:rsid w:val="3AC9229B"/>
    <w:rsid w:val="3AED7D56"/>
    <w:rsid w:val="3B252BAF"/>
    <w:rsid w:val="3C1A7270"/>
    <w:rsid w:val="3DB54599"/>
    <w:rsid w:val="3DC33DF0"/>
    <w:rsid w:val="3E791F08"/>
    <w:rsid w:val="3FB8550E"/>
    <w:rsid w:val="40972C3D"/>
    <w:rsid w:val="41407A02"/>
    <w:rsid w:val="42A3719F"/>
    <w:rsid w:val="442742D8"/>
    <w:rsid w:val="44396802"/>
    <w:rsid w:val="444F192C"/>
    <w:rsid w:val="44803629"/>
    <w:rsid w:val="44E26451"/>
    <w:rsid w:val="45282B95"/>
    <w:rsid w:val="455F57C6"/>
    <w:rsid w:val="45C937D0"/>
    <w:rsid w:val="47060B1D"/>
    <w:rsid w:val="47431429"/>
    <w:rsid w:val="476017F7"/>
    <w:rsid w:val="47B86D6D"/>
    <w:rsid w:val="47CC6C50"/>
    <w:rsid w:val="47F839E2"/>
    <w:rsid w:val="48A52C68"/>
    <w:rsid w:val="49164ABC"/>
    <w:rsid w:val="497118BC"/>
    <w:rsid w:val="49BF499E"/>
    <w:rsid w:val="4A952DAE"/>
    <w:rsid w:val="4B66509A"/>
    <w:rsid w:val="4B731259"/>
    <w:rsid w:val="4B744BA5"/>
    <w:rsid w:val="4BBD5522"/>
    <w:rsid w:val="4C8C537E"/>
    <w:rsid w:val="4CD53C0E"/>
    <w:rsid w:val="4DE2074E"/>
    <w:rsid w:val="4E814EA9"/>
    <w:rsid w:val="4E994B9F"/>
    <w:rsid w:val="4FCD110C"/>
    <w:rsid w:val="4FF77255"/>
    <w:rsid w:val="504E689D"/>
    <w:rsid w:val="505667B7"/>
    <w:rsid w:val="50BA7F81"/>
    <w:rsid w:val="51583D23"/>
    <w:rsid w:val="521408D0"/>
    <w:rsid w:val="552C446C"/>
    <w:rsid w:val="55C951EF"/>
    <w:rsid w:val="56312D95"/>
    <w:rsid w:val="56CE3AA9"/>
    <w:rsid w:val="57376C93"/>
    <w:rsid w:val="58F95B31"/>
    <w:rsid w:val="59B47F65"/>
    <w:rsid w:val="5ABA5A4E"/>
    <w:rsid w:val="5BC87CF7"/>
    <w:rsid w:val="5D504774"/>
    <w:rsid w:val="5D846E29"/>
    <w:rsid w:val="5DFC2C29"/>
    <w:rsid w:val="5E2C6C63"/>
    <w:rsid w:val="5EA44A4C"/>
    <w:rsid w:val="5FAF36A8"/>
    <w:rsid w:val="5FFA14E0"/>
    <w:rsid w:val="60372166"/>
    <w:rsid w:val="60D54EE6"/>
    <w:rsid w:val="61B938A5"/>
    <w:rsid w:val="63777BFD"/>
    <w:rsid w:val="64F61D79"/>
    <w:rsid w:val="65031DA0"/>
    <w:rsid w:val="65714C2E"/>
    <w:rsid w:val="65BB5819"/>
    <w:rsid w:val="660D5AC7"/>
    <w:rsid w:val="67E816B3"/>
    <w:rsid w:val="6852376A"/>
    <w:rsid w:val="686B482C"/>
    <w:rsid w:val="68B22A8B"/>
    <w:rsid w:val="68BD6F97"/>
    <w:rsid w:val="69286584"/>
    <w:rsid w:val="698060B5"/>
    <w:rsid w:val="69D50B42"/>
    <w:rsid w:val="6A530054"/>
    <w:rsid w:val="6A6F6406"/>
    <w:rsid w:val="6A741F92"/>
    <w:rsid w:val="6A9A31A7"/>
    <w:rsid w:val="6ACA583A"/>
    <w:rsid w:val="6CF07C20"/>
    <w:rsid w:val="6DBD011A"/>
    <w:rsid w:val="6DBF6C55"/>
    <w:rsid w:val="6DD864C0"/>
    <w:rsid w:val="6EB06D93"/>
    <w:rsid w:val="6F59227A"/>
    <w:rsid w:val="6FC648AF"/>
    <w:rsid w:val="70DD5B9B"/>
    <w:rsid w:val="713003C1"/>
    <w:rsid w:val="716C47E2"/>
    <w:rsid w:val="72C154D1"/>
    <w:rsid w:val="73AD7AA7"/>
    <w:rsid w:val="73B47087"/>
    <w:rsid w:val="741B1AD7"/>
    <w:rsid w:val="744B3C7D"/>
    <w:rsid w:val="748C1DB2"/>
    <w:rsid w:val="751122B7"/>
    <w:rsid w:val="758D193E"/>
    <w:rsid w:val="7610431D"/>
    <w:rsid w:val="76A551D1"/>
    <w:rsid w:val="770025E3"/>
    <w:rsid w:val="78441ADC"/>
    <w:rsid w:val="788E0646"/>
    <w:rsid w:val="79AF45B3"/>
    <w:rsid w:val="7A6D61E2"/>
    <w:rsid w:val="7A8F7F06"/>
    <w:rsid w:val="7D4A0A5C"/>
    <w:rsid w:val="7D9521E6"/>
    <w:rsid w:val="7EB415FD"/>
    <w:rsid w:val="7F1A4112"/>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9"/>
    <w:qFormat/>
    <w:uiPriority w:val="0"/>
    <w:pPr>
      <w:adjustRightInd w:val="0"/>
      <w:spacing w:after="120" w:line="360" w:lineRule="atLeast"/>
      <w:ind w:left="420" w:leftChars="200"/>
      <w:jc w:val="left"/>
      <w:textAlignment w:val="baseline"/>
    </w:pPr>
    <w:rPr>
      <w:sz w:val="24"/>
    </w:r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sz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3">
    <w:name w:val="List"/>
    <w:basedOn w:val="1"/>
    <w:qFormat/>
    <w:uiPriority w:val="0"/>
    <w:pPr>
      <w:ind w:left="420" w:hanging="420"/>
    </w:pPr>
    <w:rPr>
      <w:szCs w:val="20"/>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5"/>
    <w:next w:val="16"/>
    <w:qFormat/>
    <w:uiPriority w:val="0"/>
    <w:pPr>
      <w:ind w:firstLine="420" w:firstLineChars="100"/>
    </w:pPr>
    <w:rPr>
      <w:rFonts w:ascii="宋体"/>
      <w:kern w:val="0"/>
      <w:sz w:val="34"/>
    </w:rPr>
  </w:style>
  <w:style w:type="paragraph" w:styleId="16">
    <w:name w:val="Body Text First Indent 2"/>
    <w:basedOn w:val="8"/>
    <w:next w:val="13"/>
    <w:unhideWhenUsed/>
    <w:qFormat/>
    <w:uiPriority w:val="99"/>
    <w:pPr>
      <w:ind w:firstLine="420" w:firstLineChars="200"/>
    </w:pPr>
  </w:style>
  <w:style w:type="paragraph" w:customStyle="1" w:styleId="19">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4648</Words>
  <Characters>4855</Characters>
  <Lines>0</Lines>
  <Paragraphs>0</Paragraphs>
  <TotalTime>13</TotalTime>
  <ScaleCrop>false</ScaleCrop>
  <LinksUpToDate>false</LinksUpToDate>
  <CharactersWithSpaces>5149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cp:lastPrinted>2023-09-22T08:57:00Z</cp:lastPrinted>
  <dcterms:modified xsi:type="dcterms:W3CDTF">2025-08-05T00:26:41Z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B21D951641F044549B79EDCE2D8F796C_13</vt:lpwstr>
  </property>
  <property fmtid="{D5CDD505-2E9C-101B-9397-08002B2CF9AE}" pid="4" name="KSOTemplateDocerSaveRecord">
    <vt:lpwstr>eyJoZGlkIjoiYzgzZTc0ZGM5ODYzYTA0Zjk2MDQ0M2JlNWFiODg0NDciLCJ1c2VySWQiOiI4NDIwNTI3OTIifQ==</vt:lpwstr>
  </property>
</Properties>
</file>