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759CC">
      <w:pPr>
        <w:spacing w:after="0" w:line="360" w:lineRule="auto"/>
        <w:jc w:val="both"/>
        <w:rPr>
          <w:rFonts w:ascii="宋体" w:hAnsi="宋体" w:eastAsia="宋体"/>
          <w:sz w:val="24"/>
          <w:szCs w:val="28"/>
        </w:rPr>
      </w:pPr>
      <w:bookmarkStart w:id="2" w:name="_GoBack"/>
      <w:bookmarkEnd w:id="2"/>
      <w:bookmarkStart w:id="0" w:name="OLE_LINK44"/>
      <w:bookmarkStart w:id="1" w:name="OLE_LINK45"/>
      <w:r>
        <w:rPr>
          <w:rFonts w:hint="eastAsia" w:ascii="仿宋_GB2312" w:hAnsi="仿宋_GB2312" w:eastAsia="仿宋_GB2312" w:cs="仿宋_GB2312"/>
          <w:sz w:val="32"/>
          <w:szCs w:val="32"/>
        </w:rPr>
        <w:t>附件：</w:t>
      </w:r>
    </w:p>
    <w:bookmarkEnd w:id="0"/>
    <w:bookmarkEnd w:id="1"/>
    <w:p w14:paraId="1A8C99FD">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报价单</w:t>
      </w:r>
    </w:p>
    <w:p w14:paraId="1EFC3F33">
      <w:pPr>
        <w:spacing w:line="520" w:lineRule="exact"/>
        <w:jc w:val="center"/>
        <w:rPr>
          <w:rFonts w:ascii="仿宋_GB2312" w:hAnsi="仿宋" w:eastAsia="仿宋_GB2312" w:cs="仿宋"/>
          <w:b/>
          <w:sz w:val="32"/>
          <w:szCs w:val="32"/>
        </w:rPr>
      </w:pPr>
    </w:p>
    <w:tbl>
      <w:tblPr>
        <w:tblStyle w:val="21"/>
        <w:tblW w:w="8683" w:type="dxa"/>
        <w:tblInd w:w="0" w:type="dxa"/>
        <w:tblLayout w:type="fixed"/>
        <w:tblCellMar>
          <w:top w:w="15" w:type="dxa"/>
          <w:left w:w="15" w:type="dxa"/>
          <w:bottom w:w="15" w:type="dxa"/>
          <w:right w:w="15" w:type="dxa"/>
        </w:tblCellMar>
      </w:tblPr>
      <w:tblGrid>
        <w:gridCol w:w="2263"/>
        <w:gridCol w:w="6420"/>
      </w:tblGrid>
      <w:tr w14:paraId="580A2235">
        <w:tblPrEx>
          <w:tblCellMar>
            <w:top w:w="15" w:type="dxa"/>
            <w:left w:w="15" w:type="dxa"/>
            <w:bottom w:w="15" w:type="dxa"/>
            <w:right w:w="15" w:type="dxa"/>
          </w:tblCellMar>
        </w:tblPrEx>
        <w:trPr>
          <w:trHeight w:val="1474" w:hRule="exact"/>
        </w:trPr>
        <w:tc>
          <w:tcPr>
            <w:tcW w:w="2263" w:type="dxa"/>
            <w:tcBorders>
              <w:top w:val="single" w:color="000000" w:sz="4" w:space="0"/>
              <w:left w:val="single" w:color="000000" w:sz="4" w:space="0"/>
              <w:bottom w:val="single" w:color="000000" w:sz="4" w:space="0"/>
              <w:right w:val="single" w:color="000000" w:sz="4" w:space="0"/>
            </w:tcBorders>
            <w:vAlign w:val="center"/>
          </w:tcPr>
          <w:p w14:paraId="4E115B85">
            <w:pPr>
              <w:widowControl/>
              <w:spacing w:line="52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6420" w:type="dxa"/>
            <w:tcBorders>
              <w:top w:val="single" w:color="000000" w:sz="4" w:space="0"/>
              <w:left w:val="single" w:color="000000" w:sz="4" w:space="0"/>
              <w:bottom w:val="single" w:color="000000" w:sz="4" w:space="0"/>
              <w:right w:val="single" w:color="000000" w:sz="4" w:space="0"/>
            </w:tcBorders>
            <w:vAlign w:val="center"/>
          </w:tcPr>
          <w:p w14:paraId="0AF0EEE9">
            <w:pPr>
              <w:widowControl/>
              <w:spacing w:line="5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郑州机场至许昌市域铁路工程(许昌段)安全验收评价</w:t>
            </w:r>
          </w:p>
        </w:tc>
      </w:tr>
      <w:tr w14:paraId="63AFBE53">
        <w:tblPrEx>
          <w:tblCellMar>
            <w:top w:w="15" w:type="dxa"/>
            <w:left w:w="15" w:type="dxa"/>
            <w:bottom w:w="15" w:type="dxa"/>
            <w:right w:w="15" w:type="dxa"/>
          </w:tblCellMar>
        </w:tblPrEx>
        <w:trPr>
          <w:trHeight w:val="1474" w:hRule="exact"/>
        </w:trPr>
        <w:tc>
          <w:tcPr>
            <w:tcW w:w="2263" w:type="dxa"/>
            <w:tcBorders>
              <w:top w:val="single" w:color="000000" w:sz="4" w:space="0"/>
              <w:left w:val="single" w:color="000000" w:sz="4" w:space="0"/>
              <w:right w:val="single" w:color="000000" w:sz="4" w:space="0"/>
            </w:tcBorders>
            <w:vAlign w:val="center"/>
          </w:tcPr>
          <w:p w14:paraId="17CF22A0">
            <w:pPr>
              <w:widowControl/>
              <w:spacing w:line="52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6420" w:type="dxa"/>
            <w:tcBorders>
              <w:top w:val="single" w:color="000000" w:sz="4" w:space="0"/>
              <w:left w:val="single" w:color="000000" w:sz="4" w:space="0"/>
              <w:bottom w:val="single" w:color="000000" w:sz="4" w:space="0"/>
              <w:right w:val="single" w:color="000000" w:sz="4" w:space="0"/>
            </w:tcBorders>
            <w:vAlign w:val="center"/>
          </w:tcPr>
          <w:p w14:paraId="006FFFAA">
            <w:pPr>
              <w:widowControl/>
              <w:spacing w:line="520" w:lineRule="exact"/>
              <w:jc w:val="center"/>
              <w:textAlignment w:val="center"/>
              <w:rPr>
                <w:rFonts w:ascii="仿宋_GB2312" w:hAnsi="宋体" w:eastAsia="仿宋_GB2312" w:cs="仿宋_GB2312"/>
                <w:b/>
                <w:color w:val="000000"/>
                <w:sz w:val="32"/>
                <w:szCs w:val="32"/>
              </w:rPr>
            </w:pPr>
          </w:p>
        </w:tc>
      </w:tr>
      <w:tr w14:paraId="02381887">
        <w:tblPrEx>
          <w:tblCellMar>
            <w:top w:w="15" w:type="dxa"/>
            <w:left w:w="15" w:type="dxa"/>
            <w:bottom w:w="15" w:type="dxa"/>
            <w:right w:w="15" w:type="dxa"/>
          </w:tblCellMar>
        </w:tblPrEx>
        <w:trPr>
          <w:trHeight w:val="1474" w:hRule="exact"/>
        </w:trPr>
        <w:tc>
          <w:tcPr>
            <w:tcW w:w="2263" w:type="dxa"/>
            <w:tcBorders>
              <w:top w:val="single" w:color="000000" w:sz="4" w:space="0"/>
              <w:left w:val="single" w:color="000000" w:sz="4" w:space="0"/>
              <w:bottom w:val="single" w:color="000000" w:sz="4" w:space="0"/>
              <w:right w:val="single" w:color="000000" w:sz="4" w:space="0"/>
            </w:tcBorders>
            <w:vAlign w:val="center"/>
          </w:tcPr>
          <w:p w14:paraId="68255E60">
            <w:pPr>
              <w:widowControl/>
              <w:spacing w:line="52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6420" w:type="dxa"/>
            <w:tcBorders>
              <w:top w:val="single" w:color="000000" w:sz="4" w:space="0"/>
              <w:left w:val="single" w:color="000000" w:sz="4" w:space="0"/>
              <w:bottom w:val="single" w:color="000000" w:sz="4" w:space="0"/>
              <w:right w:val="single" w:color="000000" w:sz="4" w:space="0"/>
            </w:tcBorders>
            <w:vAlign w:val="center"/>
          </w:tcPr>
          <w:p w14:paraId="7CA28793">
            <w:pPr>
              <w:widowControl/>
              <w:spacing w:line="520" w:lineRule="exact"/>
              <w:jc w:val="center"/>
              <w:textAlignment w:val="center"/>
              <w:rPr>
                <w:rFonts w:ascii="仿宋_GB2312" w:hAnsi="宋体" w:eastAsia="仿宋_GB2312" w:cs="仿宋_GB2312"/>
                <w:b/>
                <w:color w:val="000000"/>
                <w:sz w:val="32"/>
                <w:szCs w:val="32"/>
              </w:rPr>
            </w:pPr>
          </w:p>
        </w:tc>
      </w:tr>
      <w:tr w14:paraId="3E256B18">
        <w:tblPrEx>
          <w:tblCellMar>
            <w:top w:w="15" w:type="dxa"/>
            <w:left w:w="15" w:type="dxa"/>
            <w:bottom w:w="15" w:type="dxa"/>
            <w:right w:w="15" w:type="dxa"/>
          </w:tblCellMar>
        </w:tblPrEx>
        <w:trPr>
          <w:trHeight w:val="1474" w:hRule="exact"/>
        </w:trPr>
        <w:tc>
          <w:tcPr>
            <w:tcW w:w="2263" w:type="dxa"/>
            <w:tcBorders>
              <w:top w:val="single" w:color="000000" w:sz="4" w:space="0"/>
              <w:left w:val="single" w:color="000000" w:sz="4" w:space="0"/>
              <w:bottom w:val="single" w:color="000000" w:sz="4" w:space="0"/>
              <w:right w:val="single" w:color="000000" w:sz="4" w:space="0"/>
            </w:tcBorders>
            <w:vAlign w:val="center"/>
          </w:tcPr>
          <w:p w14:paraId="3D11ABEA">
            <w:pPr>
              <w:widowControl/>
              <w:spacing w:line="52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项目工作内容</w:t>
            </w:r>
          </w:p>
        </w:tc>
        <w:tc>
          <w:tcPr>
            <w:tcW w:w="6420" w:type="dxa"/>
            <w:tcBorders>
              <w:top w:val="single" w:color="000000" w:sz="4" w:space="0"/>
              <w:left w:val="single" w:color="000000" w:sz="4" w:space="0"/>
              <w:bottom w:val="single" w:color="000000" w:sz="4" w:space="0"/>
              <w:right w:val="single" w:color="000000" w:sz="4" w:space="0"/>
            </w:tcBorders>
            <w:vAlign w:val="center"/>
          </w:tcPr>
          <w:p w14:paraId="69FD04AD">
            <w:pPr>
              <w:widowControl/>
              <w:spacing w:line="520" w:lineRule="exact"/>
              <w:jc w:val="center"/>
              <w:textAlignment w:val="center"/>
              <w:rPr>
                <w:rFonts w:ascii="仿宋_GB2312" w:hAnsi="宋体" w:eastAsia="仿宋_GB2312" w:cs="仿宋_GB2312"/>
                <w:b/>
                <w:color w:val="000000"/>
                <w:kern w:val="0"/>
                <w:sz w:val="32"/>
                <w:szCs w:val="32"/>
                <w:lang w:bidi="ar"/>
              </w:rPr>
            </w:pPr>
          </w:p>
          <w:p w14:paraId="2AA95B6F">
            <w:pPr>
              <w:widowControl/>
              <w:spacing w:line="520" w:lineRule="exact"/>
              <w:jc w:val="center"/>
              <w:textAlignment w:val="center"/>
              <w:rPr>
                <w:rFonts w:ascii="仿宋_GB2312" w:hAnsi="宋体" w:eastAsia="仿宋_GB2312" w:cs="仿宋_GB2312"/>
                <w:b/>
                <w:color w:val="000000"/>
                <w:kern w:val="0"/>
                <w:sz w:val="32"/>
                <w:szCs w:val="32"/>
                <w:lang w:bidi="ar"/>
              </w:rPr>
            </w:pPr>
          </w:p>
        </w:tc>
      </w:tr>
      <w:tr w14:paraId="09A9ACA4">
        <w:tblPrEx>
          <w:tblCellMar>
            <w:top w:w="15" w:type="dxa"/>
            <w:left w:w="15" w:type="dxa"/>
            <w:bottom w:w="15" w:type="dxa"/>
            <w:right w:w="15" w:type="dxa"/>
          </w:tblCellMar>
        </w:tblPrEx>
        <w:trPr>
          <w:trHeight w:val="1474" w:hRule="exact"/>
        </w:trPr>
        <w:tc>
          <w:tcPr>
            <w:tcW w:w="2263" w:type="dxa"/>
            <w:tcBorders>
              <w:top w:val="single" w:color="000000" w:sz="4" w:space="0"/>
              <w:left w:val="single" w:color="000000" w:sz="4" w:space="0"/>
              <w:bottom w:val="single" w:color="000000" w:sz="4" w:space="0"/>
              <w:right w:val="single" w:color="000000" w:sz="4" w:space="0"/>
            </w:tcBorders>
            <w:vAlign w:val="center"/>
          </w:tcPr>
          <w:p w14:paraId="3C8A5348">
            <w:pPr>
              <w:widowControl/>
              <w:spacing w:line="52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6420" w:type="dxa"/>
            <w:tcBorders>
              <w:top w:val="single" w:color="000000" w:sz="4" w:space="0"/>
              <w:left w:val="single" w:color="000000" w:sz="4" w:space="0"/>
              <w:bottom w:val="single" w:color="000000" w:sz="4" w:space="0"/>
              <w:right w:val="single" w:color="000000" w:sz="4" w:space="0"/>
            </w:tcBorders>
            <w:vAlign w:val="center"/>
          </w:tcPr>
          <w:p w14:paraId="21A9C9A6">
            <w:pPr>
              <w:widowControl/>
              <w:spacing w:line="52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 xml:space="preserve">     </w:t>
            </w:r>
            <w:r>
              <w:rPr>
                <w:rFonts w:hint="eastAsia" w:ascii="仿宋_GB2312" w:hAnsi="仿宋_GB2312" w:eastAsia="仿宋_GB2312" w:cs="仿宋_GB2312"/>
                <w:sz w:val="32"/>
                <w:szCs w:val="32"/>
              </w:rPr>
              <w:t>****元（含税）</w:t>
            </w:r>
          </w:p>
        </w:tc>
      </w:tr>
    </w:tbl>
    <w:p w14:paraId="4D50C00E">
      <w:pPr>
        <w:adjustRightInd w:val="0"/>
        <w:spacing w:line="520" w:lineRule="exact"/>
        <w:ind w:firstLine="640" w:firstLineChars="200"/>
        <w:jc w:val="right"/>
        <w:rPr>
          <w:rFonts w:ascii="仿宋_GB2312" w:hAnsi="仿宋_GB2312" w:eastAsia="仿宋_GB2312" w:cs="仿宋_GB2312"/>
          <w:sz w:val="32"/>
          <w:szCs w:val="32"/>
        </w:rPr>
      </w:pPr>
    </w:p>
    <w:p w14:paraId="2DE4C6EF">
      <w:pPr>
        <w:adjustRightInd w:val="0"/>
        <w:spacing w:line="520" w:lineRule="exact"/>
        <w:ind w:firstLine="640" w:firstLineChars="200"/>
        <w:jc w:val="right"/>
        <w:rPr>
          <w:rFonts w:ascii="仿宋_GB2312" w:hAnsi="仿宋_GB2312" w:eastAsia="仿宋_GB2312" w:cs="仿宋_GB2312"/>
          <w:sz w:val="32"/>
          <w:szCs w:val="32"/>
        </w:rPr>
      </w:pPr>
    </w:p>
    <w:p w14:paraId="3CB07D3D">
      <w:pPr>
        <w:pStyle w:val="3"/>
        <w:spacing w:line="520" w:lineRule="exact"/>
        <w:ind w:firstLine="5440" w:firstLineChars="1700"/>
        <w:rPr>
          <w:rFonts w:ascii="仿宋_GB2312" w:hAnsi="仿宋_GB2312" w:eastAsia="仿宋_GB2312" w:cs="仿宋_GB2312"/>
          <w:szCs w:val="32"/>
        </w:rPr>
      </w:pPr>
      <w:r>
        <w:rPr>
          <w:rFonts w:hint="eastAsia" w:ascii="仿宋_GB2312" w:hAnsi="仿宋_GB2312" w:eastAsia="仿宋_GB2312" w:cs="仿宋_GB2312"/>
          <w:sz w:val="32"/>
          <w:szCs w:val="32"/>
        </w:rPr>
        <w:t>年    月    日</w:t>
      </w:r>
    </w:p>
    <w:p w14:paraId="59C172C3">
      <w:pPr>
        <w:spacing w:line="520" w:lineRule="exact"/>
        <w:rPr>
          <w:rFonts w:ascii="仿宋_GB2312" w:hAnsi="仿宋_GB2312" w:eastAsia="仿宋_GB2312" w:cs="仿宋_GB2312"/>
          <w:sz w:val="32"/>
          <w:szCs w:val="32"/>
        </w:rPr>
      </w:pPr>
    </w:p>
    <w:p w14:paraId="6D5C885E">
      <w:pPr>
        <w:spacing w:line="520" w:lineRule="exact"/>
        <w:rPr>
          <w:rFonts w:ascii="仿宋_GB2312" w:hAnsi="仿宋_GB2312" w:eastAsia="仿宋_GB2312" w:cs="仿宋_GB2312"/>
          <w:sz w:val="32"/>
          <w:szCs w:val="32"/>
        </w:rPr>
      </w:pPr>
    </w:p>
    <w:p w14:paraId="1A396E96">
      <w:pPr>
        <w:pStyle w:val="19"/>
        <w:ind w:firstLine="220"/>
      </w:pPr>
    </w:p>
    <w:p w14:paraId="28543A60">
      <w:pPr>
        <w:pStyle w:val="13"/>
        <w:spacing w:line="520" w:lineRule="exact"/>
        <w:contextualSpacing/>
        <w:jc w:val="center"/>
        <w:rPr>
          <w:rFonts w:ascii="方正小标宋简体" w:hAnsi="方正小标宋简体" w:eastAsia="方正小标宋简体" w:cs="方正小标宋简体"/>
          <w:b/>
          <w:sz w:val="44"/>
          <w:szCs w:val="44"/>
          <w:lang w:val="zh-CN"/>
        </w:rPr>
      </w:pPr>
    </w:p>
    <w:p w14:paraId="2CF8FC5C">
      <w:pPr>
        <w:pStyle w:val="13"/>
        <w:spacing w:line="520" w:lineRule="exact"/>
        <w:contextualSpacing/>
        <w:jc w:val="center"/>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评标标准</w:t>
      </w:r>
    </w:p>
    <w:p w14:paraId="66F615B5">
      <w:pPr>
        <w:spacing w:line="52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一、资格审查</w:t>
      </w:r>
    </w:p>
    <w:p w14:paraId="09ABBB1E">
      <w:pPr>
        <w:spacing w:line="520" w:lineRule="exact"/>
        <w:ind w:firstLine="640" w:firstLineChars="200"/>
        <w:rPr>
          <w:rFonts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rPr>
        <w:t>评审小组对申请人资格进行检查。</w:t>
      </w:r>
      <w:r>
        <w:rPr>
          <w:rFonts w:hint="eastAsia" w:ascii="仿宋_GB2312" w:hAnsi="仿宋_GB2312" w:eastAsia="仿宋_GB2312" w:cs="仿宋_GB2312"/>
          <w:sz w:val="32"/>
          <w:szCs w:val="32"/>
          <w:lang w:val="zh-CN"/>
        </w:rPr>
        <w:t>确定符合资格的</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zh-CN"/>
        </w:rPr>
        <w:t>人不少于3家后对投标文件进行符合性审查，</w:t>
      </w:r>
      <w:r>
        <w:rPr>
          <w:rFonts w:hint="eastAsia" w:ascii="仿宋_GB2312" w:hAnsi="仿宋_GB2312" w:eastAsia="仿宋_GB2312" w:cs="仿宋_GB2312"/>
          <w:sz w:val="32"/>
          <w:szCs w:val="32"/>
        </w:rPr>
        <w:t>少于三家则本次评标过程无效</w:t>
      </w:r>
      <w:r>
        <w:rPr>
          <w:rFonts w:hint="eastAsia" w:ascii="仿宋_GB2312" w:hAnsi="仿宋_GB2312" w:eastAsia="仿宋_GB2312" w:cs="仿宋_GB2312"/>
          <w:sz w:val="32"/>
          <w:szCs w:val="32"/>
          <w:lang w:val="zh-CN"/>
        </w:rPr>
        <w:t>。</w:t>
      </w:r>
    </w:p>
    <w:p w14:paraId="1C3612C4">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w:t>
      </w:r>
    </w:p>
    <w:p w14:paraId="617AAAC3">
      <w:pPr>
        <w:spacing w:line="52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（一）评审方法</w:t>
      </w:r>
    </w:p>
    <w:p w14:paraId="39F5F892">
      <w:pPr>
        <w:spacing w:line="52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本项目采用综合评分法，总分为100分。分值构成如下：</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5560"/>
      </w:tblGrid>
      <w:tr w14:paraId="7320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940" w:type="dxa"/>
            <w:vAlign w:val="center"/>
          </w:tcPr>
          <w:p w14:paraId="50E834B6">
            <w:pPr>
              <w:tabs>
                <w:tab w:val="left" w:pos="1260"/>
              </w:tabs>
              <w:autoSpaceDE w:val="0"/>
              <w:autoSpaceDN w:val="0"/>
              <w:adjustRightInd w:val="0"/>
              <w:snapToGrid w:val="0"/>
              <w:spacing w:after="0"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分值构成</w:t>
            </w:r>
          </w:p>
          <w:p w14:paraId="773B0347">
            <w:pPr>
              <w:tabs>
                <w:tab w:val="left" w:pos="1260"/>
              </w:tabs>
              <w:autoSpaceDE w:val="0"/>
              <w:autoSpaceDN w:val="0"/>
              <w:adjustRightInd w:val="0"/>
              <w:snapToGrid w:val="0"/>
              <w:spacing w:after="0" w:line="360"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(总分100分)</w:t>
            </w:r>
          </w:p>
        </w:tc>
        <w:tc>
          <w:tcPr>
            <w:tcW w:w="5560" w:type="dxa"/>
            <w:vAlign w:val="center"/>
          </w:tcPr>
          <w:p w14:paraId="2DF9C0D7">
            <w:pPr>
              <w:tabs>
                <w:tab w:val="left" w:pos="1260"/>
              </w:tabs>
              <w:autoSpaceDE w:val="0"/>
              <w:autoSpaceDN w:val="0"/>
              <w:adjustRightInd w:val="0"/>
              <w:snapToGrid w:val="0"/>
              <w:spacing w:after="0" w:line="360"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商务部分：</w:t>
            </w:r>
            <w:r>
              <w:rPr>
                <w:rFonts w:hint="eastAsia" w:ascii="仿宋_GB2312" w:hAnsi="仿宋_GB2312" w:eastAsia="仿宋_GB2312" w:cs="仿宋_GB2312"/>
                <w:sz w:val="24"/>
                <w:u w:val="single"/>
              </w:rPr>
              <w:t>40</w:t>
            </w:r>
            <w:r>
              <w:rPr>
                <w:rFonts w:hint="eastAsia" w:ascii="仿宋_GB2312" w:hAnsi="仿宋_GB2312" w:eastAsia="仿宋_GB2312" w:cs="仿宋_GB2312"/>
                <w:sz w:val="24"/>
                <w:u w:val="single"/>
                <w:lang w:val="zh-CN"/>
              </w:rPr>
              <w:t>分</w:t>
            </w:r>
          </w:p>
          <w:p w14:paraId="6167D04B">
            <w:pPr>
              <w:tabs>
                <w:tab w:val="left" w:pos="1260"/>
              </w:tabs>
              <w:autoSpaceDE w:val="0"/>
              <w:autoSpaceDN w:val="0"/>
              <w:adjustRightInd w:val="0"/>
              <w:snapToGrid w:val="0"/>
              <w:spacing w:after="0" w:line="360" w:lineRule="auto"/>
              <w:rPr>
                <w:rFonts w:ascii="仿宋_GB2312" w:hAnsi="仿宋_GB2312" w:eastAsia="仿宋_GB2312" w:cs="仿宋_GB2312"/>
                <w:sz w:val="24"/>
                <w:u w:val="single"/>
                <w:lang w:val="zh-CN"/>
              </w:rPr>
            </w:pPr>
            <w:r>
              <w:rPr>
                <w:rFonts w:hint="eastAsia" w:ascii="仿宋_GB2312" w:hAnsi="仿宋_GB2312" w:eastAsia="仿宋_GB2312" w:cs="仿宋_GB2312"/>
                <w:sz w:val="24"/>
              </w:rPr>
              <w:t>技术</w:t>
            </w:r>
            <w:r>
              <w:rPr>
                <w:rFonts w:hint="eastAsia" w:ascii="仿宋_GB2312" w:hAnsi="仿宋_GB2312" w:eastAsia="仿宋_GB2312" w:cs="仿宋_GB2312"/>
                <w:sz w:val="24"/>
                <w:lang w:val="zh-CN"/>
              </w:rPr>
              <w:t>部分：</w:t>
            </w:r>
            <w:r>
              <w:rPr>
                <w:rFonts w:hint="eastAsia" w:ascii="仿宋_GB2312" w:hAnsi="仿宋_GB2312" w:eastAsia="仿宋_GB2312" w:cs="仿宋_GB2312"/>
                <w:sz w:val="24"/>
                <w:u w:val="single"/>
              </w:rPr>
              <w:t>50</w:t>
            </w:r>
            <w:r>
              <w:rPr>
                <w:rFonts w:hint="eastAsia" w:ascii="仿宋_GB2312" w:hAnsi="仿宋_GB2312" w:eastAsia="仿宋_GB2312" w:cs="仿宋_GB2312"/>
                <w:sz w:val="24"/>
                <w:u w:val="single"/>
                <w:lang w:val="zh-CN"/>
              </w:rPr>
              <w:t>分</w:t>
            </w:r>
          </w:p>
          <w:p w14:paraId="59D8F449">
            <w:pPr>
              <w:tabs>
                <w:tab w:val="left" w:pos="1260"/>
              </w:tabs>
              <w:autoSpaceDE w:val="0"/>
              <w:autoSpaceDN w:val="0"/>
              <w:adjustRightInd w:val="0"/>
              <w:snapToGrid w:val="0"/>
              <w:spacing w:after="0" w:line="360" w:lineRule="auto"/>
              <w:rPr>
                <w:rFonts w:ascii="仿宋_GB2312" w:hAnsi="仿宋_GB2312" w:eastAsia="仿宋_GB2312" w:cs="仿宋_GB2312"/>
                <w:sz w:val="24"/>
              </w:rPr>
            </w:pPr>
            <w:r>
              <w:rPr>
                <w:rFonts w:hint="eastAsia" w:ascii="仿宋_GB2312" w:hAnsi="仿宋_GB2312" w:eastAsia="仿宋_GB2312" w:cs="仿宋_GB2312"/>
                <w:sz w:val="24"/>
              </w:rPr>
              <w:t>价格分值</w:t>
            </w:r>
            <w:r>
              <w:rPr>
                <w:rFonts w:hint="eastAsia" w:ascii="仿宋_GB2312" w:hAnsi="仿宋_GB2312" w:eastAsia="仿宋_GB2312" w:cs="仿宋_GB2312"/>
                <w:sz w:val="24"/>
                <w:lang w:val="zh-CN"/>
              </w:rPr>
              <w:t>：</w:t>
            </w:r>
            <w:r>
              <w:rPr>
                <w:rFonts w:hint="eastAsia" w:ascii="仿宋_GB2312" w:hAnsi="仿宋_GB2312" w:eastAsia="仿宋_GB2312" w:cs="仿宋_GB2312"/>
                <w:sz w:val="24"/>
                <w:u w:val="single"/>
              </w:rPr>
              <w:t>10分</w:t>
            </w:r>
          </w:p>
        </w:tc>
      </w:tr>
    </w:tbl>
    <w:p w14:paraId="2C4DCAF0">
      <w:pPr>
        <w:spacing w:line="52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（二）评分办法</w:t>
      </w:r>
    </w:p>
    <w:p w14:paraId="17635395">
      <w:pPr>
        <w:spacing w:line="52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1、商务部分（40分）</w:t>
      </w:r>
    </w:p>
    <w:tbl>
      <w:tblPr>
        <w:tblStyle w:val="21"/>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23"/>
        <w:gridCol w:w="5816"/>
        <w:gridCol w:w="753"/>
      </w:tblGrid>
      <w:tr w14:paraId="19AD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18" w:type="pct"/>
            <w:vAlign w:val="center"/>
          </w:tcPr>
          <w:p w14:paraId="055E884C">
            <w:pPr>
              <w:widowControl/>
              <w:spacing w:line="240" w:lineRule="auto"/>
              <w:jc w:val="center"/>
              <w:rPr>
                <w:rFonts w:ascii="仿宋" w:hAnsi="仿宋" w:eastAsia="仿宋" w:cs="仿宋_GB2312"/>
                <w:b/>
                <w:sz w:val="24"/>
              </w:rPr>
            </w:pPr>
            <w:r>
              <w:rPr>
                <w:rFonts w:hint="eastAsia" w:ascii="仿宋" w:hAnsi="仿宋" w:eastAsia="仿宋" w:cs="仿宋_GB2312"/>
                <w:b/>
                <w:sz w:val="24"/>
              </w:rPr>
              <w:t>序号</w:t>
            </w:r>
          </w:p>
        </w:tc>
        <w:tc>
          <w:tcPr>
            <w:tcW w:w="768" w:type="pct"/>
            <w:vAlign w:val="center"/>
          </w:tcPr>
          <w:p w14:paraId="169F902C">
            <w:pPr>
              <w:spacing w:line="240" w:lineRule="auto"/>
              <w:jc w:val="center"/>
              <w:rPr>
                <w:rFonts w:ascii="仿宋" w:hAnsi="仿宋" w:eastAsia="仿宋" w:cs="仿宋_GB2312"/>
                <w:b/>
                <w:sz w:val="24"/>
              </w:rPr>
            </w:pPr>
            <w:r>
              <w:rPr>
                <w:rFonts w:hint="eastAsia" w:ascii="仿宋" w:hAnsi="仿宋" w:eastAsia="仿宋" w:cs="仿宋_GB2312"/>
                <w:b/>
                <w:sz w:val="24"/>
              </w:rPr>
              <w:t>项目</w:t>
            </w:r>
          </w:p>
        </w:tc>
        <w:tc>
          <w:tcPr>
            <w:tcW w:w="3377" w:type="pct"/>
            <w:vAlign w:val="center"/>
          </w:tcPr>
          <w:p w14:paraId="026AA32F">
            <w:pPr>
              <w:spacing w:line="240" w:lineRule="auto"/>
              <w:jc w:val="center"/>
              <w:rPr>
                <w:rFonts w:ascii="仿宋" w:hAnsi="仿宋" w:eastAsia="仿宋" w:cs="仿宋_GB2312"/>
                <w:b/>
                <w:sz w:val="24"/>
              </w:rPr>
            </w:pPr>
            <w:r>
              <w:rPr>
                <w:rFonts w:hint="eastAsia" w:ascii="仿宋" w:hAnsi="仿宋" w:eastAsia="仿宋" w:cs="仿宋_GB2312"/>
                <w:b/>
                <w:sz w:val="24"/>
              </w:rPr>
              <w:t>评分细则</w:t>
            </w:r>
          </w:p>
        </w:tc>
        <w:tc>
          <w:tcPr>
            <w:tcW w:w="437" w:type="pct"/>
            <w:vAlign w:val="center"/>
          </w:tcPr>
          <w:p w14:paraId="5002E238">
            <w:pPr>
              <w:widowControl/>
              <w:spacing w:line="240" w:lineRule="auto"/>
              <w:jc w:val="center"/>
              <w:rPr>
                <w:rFonts w:ascii="仿宋" w:hAnsi="仿宋" w:eastAsia="仿宋" w:cs="仿宋_GB2312"/>
                <w:b/>
                <w:sz w:val="24"/>
              </w:rPr>
            </w:pPr>
            <w:r>
              <w:rPr>
                <w:rFonts w:hint="eastAsia" w:ascii="仿宋" w:hAnsi="仿宋" w:eastAsia="仿宋" w:cs="仿宋_GB2312"/>
                <w:b/>
                <w:sz w:val="24"/>
              </w:rPr>
              <w:t>分值</w:t>
            </w:r>
          </w:p>
        </w:tc>
      </w:tr>
      <w:tr w14:paraId="39D9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418" w:type="pct"/>
            <w:vAlign w:val="center"/>
          </w:tcPr>
          <w:p w14:paraId="29ACD0CB">
            <w:pPr>
              <w:spacing w:line="240" w:lineRule="auto"/>
              <w:jc w:val="center"/>
              <w:rPr>
                <w:rFonts w:ascii="仿宋" w:hAnsi="仿宋" w:eastAsia="仿宋" w:cs="仿宋_GB2312"/>
                <w:kern w:val="0"/>
                <w:sz w:val="24"/>
              </w:rPr>
            </w:pPr>
            <w:r>
              <w:rPr>
                <w:rFonts w:hint="eastAsia" w:ascii="仿宋" w:hAnsi="仿宋" w:eastAsia="仿宋" w:cs="仿宋_GB2312"/>
                <w:kern w:val="0"/>
                <w:sz w:val="24"/>
              </w:rPr>
              <w:t>1</w:t>
            </w:r>
          </w:p>
        </w:tc>
        <w:tc>
          <w:tcPr>
            <w:tcW w:w="768" w:type="pct"/>
            <w:vAlign w:val="center"/>
          </w:tcPr>
          <w:p w14:paraId="65D2D356">
            <w:pPr>
              <w:spacing w:line="240" w:lineRule="auto"/>
              <w:jc w:val="center"/>
              <w:rPr>
                <w:rFonts w:ascii="仿宋" w:hAnsi="仿宋" w:eastAsia="仿宋" w:cs="仿宋_GB2312"/>
                <w:kern w:val="0"/>
                <w:sz w:val="24"/>
              </w:rPr>
            </w:pPr>
            <w:r>
              <w:rPr>
                <w:rFonts w:hint="eastAsia" w:ascii="仿宋" w:hAnsi="仿宋" w:eastAsia="仿宋" w:cs="仿宋_GB2312"/>
                <w:kern w:val="0"/>
                <w:sz w:val="24"/>
              </w:rPr>
              <w:t>企业业绩</w:t>
            </w:r>
          </w:p>
        </w:tc>
        <w:tc>
          <w:tcPr>
            <w:tcW w:w="3377" w:type="pct"/>
            <w:vAlign w:val="center"/>
          </w:tcPr>
          <w:p w14:paraId="6402710B">
            <w:pPr>
              <w:spacing w:line="240" w:lineRule="auto"/>
              <w:rPr>
                <w:rFonts w:ascii="仿宋" w:hAnsi="仿宋" w:eastAsia="仿宋"/>
                <w:sz w:val="24"/>
              </w:rPr>
            </w:pPr>
            <w:r>
              <w:rPr>
                <w:rFonts w:hint="eastAsia" w:ascii="仿宋" w:hAnsi="仿宋" w:eastAsia="仿宋" w:cs="仿宋_GB2312"/>
                <w:kern w:val="0"/>
                <w:sz w:val="24"/>
              </w:rPr>
              <w:t>投标人自2020年1月1日至今（以合同签订时间为准），承接过城市轨道交通工程通车后安全验收评价业绩，每提供一个得1分，最高得5分。（提供合同关键页扫描件并加盖投标人公章，否则不得分）。</w:t>
            </w:r>
          </w:p>
        </w:tc>
        <w:tc>
          <w:tcPr>
            <w:tcW w:w="437" w:type="pct"/>
            <w:vAlign w:val="center"/>
          </w:tcPr>
          <w:p w14:paraId="4CB794ED">
            <w:pPr>
              <w:widowControl/>
              <w:spacing w:line="240" w:lineRule="auto"/>
              <w:jc w:val="center"/>
              <w:rPr>
                <w:rFonts w:ascii="仿宋" w:hAnsi="仿宋" w:eastAsia="仿宋" w:cs="仿宋_GB2312"/>
                <w:sz w:val="24"/>
              </w:rPr>
            </w:pPr>
            <w:r>
              <w:rPr>
                <w:rFonts w:hint="eastAsia" w:ascii="仿宋" w:hAnsi="仿宋" w:eastAsia="仿宋" w:cs="仿宋_GB2312"/>
                <w:sz w:val="24"/>
              </w:rPr>
              <w:t>5</w:t>
            </w:r>
          </w:p>
        </w:tc>
      </w:tr>
      <w:tr w14:paraId="1072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18" w:type="pct"/>
            <w:vAlign w:val="center"/>
          </w:tcPr>
          <w:p w14:paraId="5C4ACB16">
            <w:pPr>
              <w:spacing w:line="240" w:lineRule="auto"/>
              <w:jc w:val="center"/>
              <w:rPr>
                <w:rFonts w:ascii="仿宋" w:hAnsi="仿宋" w:eastAsia="仿宋" w:cs="仿宋_GB2312"/>
                <w:kern w:val="0"/>
                <w:sz w:val="24"/>
              </w:rPr>
            </w:pPr>
            <w:r>
              <w:rPr>
                <w:rFonts w:hint="eastAsia" w:ascii="仿宋" w:hAnsi="仿宋" w:eastAsia="仿宋" w:cs="仿宋_GB2312"/>
                <w:kern w:val="0"/>
                <w:sz w:val="24"/>
              </w:rPr>
              <w:t>2</w:t>
            </w:r>
          </w:p>
        </w:tc>
        <w:tc>
          <w:tcPr>
            <w:tcW w:w="768" w:type="pct"/>
            <w:vAlign w:val="center"/>
          </w:tcPr>
          <w:p w14:paraId="3C5E01AE">
            <w:pPr>
              <w:spacing w:line="240" w:lineRule="auto"/>
              <w:jc w:val="center"/>
              <w:rPr>
                <w:rFonts w:ascii="仿宋" w:hAnsi="仿宋" w:eastAsia="仿宋" w:cs="仿宋_GB2312"/>
                <w:kern w:val="0"/>
                <w:sz w:val="24"/>
              </w:rPr>
            </w:pPr>
            <w:r>
              <w:rPr>
                <w:rFonts w:hint="eastAsia" w:ascii="仿宋" w:hAnsi="仿宋" w:eastAsia="仿宋" w:cs="仿宋_GB2312"/>
                <w:kern w:val="0"/>
                <w:sz w:val="24"/>
              </w:rPr>
              <w:t>项目负责人</w:t>
            </w:r>
          </w:p>
        </w:tc>
        <w:tc>
          <w:tcPr>
            <w:tcW w:w="3377" w:type="pct"/>
            <w:vAlign w:val="center"/>
          </w:tcPr>
          <w:p w14:paraId="7D733F42">
            <w:pPr>
              <w:spacing w:line="240" w:lineRule="auto"/>
              <w:rPr>
                <w:rFonts w:ascii="仿宋" w:hAnsi="仿宋" w:eastAsia="仿宋" w:cs="仿宋_GB2312"/>
                <w:kern w:val="0"/>
                <w:sz w:val="24"/>
              </w:rPr>
            </w:pPr>
            <w:r>
              <w:rPr>
                <w:rFonts w:hint="eastAsia" w:ascii="仿宋" w:hAnsi="仿宋" w:eastAsia="仿宋" w:cs="仿宋_GB2312"/>
                <w:kern w:val="0"/>
                <w:sz w:val="24"/>
              </w:rPr>
              <w:t>1.项目负责人具有工程类正高级职称的得</w:t>
            </w:r>
            <w:r>
              <w:rPr>
                <w:rFonts w:ascii="仿宋" w:hAnsi="仿宋" w:eastAsia="仿宋" w:cs="仿宋_GB2312"/>
                <w:kern w:val="0"/>
                <w:sz w:val="24"/>
              </w:rPr>
              <w:t>2</w:t>
            </w:r>
            <w:r>
              <w:rPr>
                <w:rFonts w:hint="eastAsia" w:ascii="仿宋" w:hAnsi="仿宋" w:eastAsia="仿宋" w:cs="仿宋_GB2312"/>
                <w:kern w:val="0"/>
                <w:sz w:val="24"/>
              </w:rPr>
              <w:t>分，同时具有中级及以上注册安全工程师的得2分，最高得4分。</w:t>
            </w:r>
          </w:p>
          <w:p w14:paraId="494EB904">
            <w:pPr>
              <w:spacing w:line="240" w:lineRule="auto"/>
              <w:rPr>
                <w:rFonts w:ascii="仿宋" w:hAnsi="仿宋" w:eastAsia="仿宋" w:cs="仿宋_GB2312"/>
                <w:kern w:val="0"/>
                <w:sz w:val="24"/>
              </w:rPr>
            </w:pPr>
            <w:r>
              <w:rPr>
                <w:rFonts w:hint="eastAsia" w:ascii="仿宋" w:hAnsi="仿宋" w:eastAsia="仿宋" w:cs="仿宋_GB2312"/>
                <w:kern w:val="0"/>
                <w:sz w:val="24"/>
              </w:rPr>
              <w:t>2. 2020年1月1日至今项目负责人身份参与单个城市轨道交通工程安全验收评价业绩的，每提供一个得0.5分，最高得1分。</w:t>
            </w:r>
          </w:p>
          <w:p w14:paraId="6C1CB9F9">
            <w:pPr>
              <w:spacing w:line="240" w:lineRule="auto"/>
              <w:rPr>
                <w:rFonts w:ascii="仿宋" w:hAnsi="仿宋" w:eastAsia="仿宋" w:cs="仿宋_GB2312"/>
                <w:kern w:val="0"/>
                <w:sz w:val="24"/>
              </w:rPr>
            </w:pPr>
            <w:r>
              <w:rPr>
                <w:rFonts w:hint="eastAsia" w:ascii="仿宋" w:hAnsi="仿宋" w:eastAsia="仿宋" w:cs="仿宋_GB2312"/>
                <w:kern w:val="0"/>
                <w:sz w:val="24"/>
              </w:rPr>
              <w:t>（提供项目负责人职称证书、本单位近3个月社保缴纳证明及其他相关有效证明材料并加盖投标人公章。注：1、项目负责人业绩证明材料以合同为准，如合同中不能完全反映上述项目负责人业绩要求，必须同时提供业主证明作为补充证明材料，否则不予认可）。</w:t>
            </w:r>
          </w:p>
        </w:tc>
        <w:tc>
          <w:tcPr>
            <w:tcW w:w="437" w:type="pct"/>
            <w:vAlign w:val="center"/>
          </w:tcPr>
          <w:p w14:paraId="25177866">
            <w:pPr>
              <w:widowControl/>
              <w:spacing w:line="240" w:lineRule="auto"/>
              <w:jc w:val="center"/>
              <w:rPr>
                <w:rFonts w:ascii="仿宋" w:hAnsi="仿宋" w:eastAsia="仿宋" w:cs="仿宋_GB2312"/>
                <w:sz w:val="24"/>
              </w:rPr>
            </w:pPr>
            <w:r>
              <w:rPr>
                <w:rFonts w:hint="eastAsia" w:ascii="仿宋" w:hAnsi="仿宋" w:eastAsia="仿宋" w:cs="仿宋_GB2312"/>
                <w:sz w:val="24"/>
              </w:rPr>
              <w:t>5</w:t>
            </w:r>
          </w:p>
        </w:tc>
      </w:tr>
      <w:tr w14:paraId="1CF0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418" w:type="pct"/>
            <w:vAlign w:val="center"/>
          </w:tcPr>
          <w:p w14:paraId="1A67CCA9">
            <w:pPr>
              <w:spacing w:line="240" w:lineRule="auto"/>
              <w:jc w:val="center"/>
              <w:rPr>
                <w:rFonts w:ascii="仿宋" w:hAnsi="仿宋" w:eastAsia="仿宋" w:cs="仿宋_GB2312"/>
                <w:kern w:val="0"/>
                <w:sz w:val="24"/>
              </w:rPr>
            </w:pPr>
            <w:r>
              <w:rPr>
                <w:rFonts w:hint="eastAsia" w:ascii="仿宋" w:hAnsi="仿宋" w:eastAsia="仿宋" w:cs="仿宋_GB2312"/>
                <w:kern w:val="0"/>
                <w:sz w:val="24"/>
              </w:rPr>
              <w:t>3</w:t>
            </w:r>
          </w:p>
        </w:tc>
        <w:tc>
          <w:tcPr>
            <w:tcW w:w="768" w:type="pct"/>
            <w:vAlign w:val="center"/>
          </w:tcPr>
          <w:p w14:paraId="1B233FCC">
            <w:pPr>
              <w:spacing w:line="240" w:lineRule="auto"/>
              <w:jc w:val="center"/>
              <w:rPr>
                <w:rFonts w:ascii="仿宋" w:hAnsi="仿宋" w:eastAsia="仿宋" w:cs="仿宋_GB2312"/>
                <w:kern w:val="0"/>
                <w:sz w:val="24"/>
              </w:rPr>
            </w:pPr>
            <w:r>
              <w:rPr>
                <w:rFonts w:hint="eastAsia" w:ascii="仿宋" w:hAnsi="仿宋" w:eastAsia="仿宋" w:cs="仿宋_GB2312"/>
                <w:kern w:val="0"/>
                <w:sz w:val="24"/>
              </w:rPr>
              <w:t>拟投入人员</w:t>
            </w:r>
          </w:p>
        </w:tc>
        <w:tc>
          <w:tcPr>
            <w:tcW w:w="3377" w:type="pct"/>
            <w:vAlign w:val="center"/>
          </w:tcPr>
          <w:p w14:paraId="325324C4">
            <w:pPr>
              <w:spacing w:line="240" w:lineRule="auto"/>
              <w:rPr>
                <w:rFonts w:ascii="仿宋" w:hAnsi="仿宋" w:eastAsia="仿宋" w:cs="仿宋_GB2312"/>
                <w:kern w:val="0"/>
                <w:sz w:val="24"/>
              </w:rPr>
            </w:pPr>
            <w:r>
              <w:rPr>
                <w:rFonts w:hint="eastAsia" w:ascii="仿宋" w:hAnsi="仿宋" w:eastAsia="仿宋" w:cs="仿宋_GB2312"/>
                <w:kern w:val="0"/>
                <w:sz w:val="24"/>
              </w:rPr>
              <w:t>拟派项目组成员（不含项目负责人）全部具有高级及以上职称，涵盖安全工程、通风、通信、信号、土建、环境工程、电气、机械等专业，得满分5分，每少提供1个扣1分，最多扣5分。一人多个专业不重复计算，若一人提供多个专业的则按1个专业计。</w:t>
            </w:r>
          </w:p>
          <w:p w14:paraId="0F3471E3">
            <w:pPr>
              <w:spacing w:line="240" w:lineRule="auto"/>
              <w:rPr>
                <w:rFonts w:ascii="仿宋" w:hAnsi="仿宋" w:eastAsia="仿宋" w:cs="仿宋_GB2312"/>
                <w:kern w:val="0"/>
                <w:sz w:val="24"/>
              </w:rPr>
            </w:pPr>
            <w:r>
              <w:rPr>
                <w:rFonts w:hint="eastAsia" w:ascii="仿宋" w:hAnsi="仿宋" w:eastAsia="仿宋" w:cs="仿宋_GB2312"/>
                <w:kern w:val="0"/>
                <w:sz w:val="24"/>
              </w:rPr>
              <w:t>项目组成员中每有1名参与编制轨道交通安全方面国家或行业标准的得2分，最多得6分；每有1名成员获得行政部门颁发的市级或以上轨道交通安全方面奖项的得1分，最多得4分。</w:t>
            </w:r>
          </w:p>
          <w:p w14:paraId="3AB63AC3">
            <w:pPr>
              <w:spacing w:line="240" w:lineRule="auto"/>
              <w:rPr>
                <w:rFonts w:ascii="仿宋" w:hAnsi="仿宋" w:eastAsia="仿宋" w:cs="仿宋"/>
                <w:sz w:val="24"/>
              </w:rPr>
            </w:pPr>
            <w:r>
              <w:rPr>
                <w:rFonts w:hint="eastAsia" w:ascii="仿宋" w:hAnsi="仿宋" w:eastAsia="仿宋" w:cs="仿宋_GB2312"/>
                <w:kern w:val="0"/>
                <w:sz w:val="24"/>
              </w:rPr>
              <w:t>（提供项目组成员本单位近3个月缴纳社保证明及相关有效证明材料并加盖投标人公章。）</w:t>
            </w:r>
          </w:p>
        </w:tc>
        <w:tc>
          <w:tcPr>
            <w:tcW w:w="437" w:type="pct"/>
            <w:vAlign w:val="center"/>
          </w:tcPr>
          <w:p w14:paraId="7BF91038">
            <w:pPr>
              <w:widowControl/>
              <w:spacing w:line="240" w:lineRule="auto"/>
              <w:jc w:val="center"/>
              <w:rPr>
                <w:rFonts w:ascii="仿宋" w:hAnsi="仿宋" w:eastAsia="仿宋" w:cs="仿宋_GB2312"/>
                <w:sz w:val="24"/>
              </w:rPr>
            </w:pPr>
            <w:r>
              <w:rPr>
                <w:rFonts w:hint="eastAsia" w:ascii="仿宋" w:hAnsi="仿宋" w:eastAsia="仿宋" w:cs="仿宋_GB2312"/>
                <w:sz w:val="24"/>
              </w:rPr>
              <w:t>15</w:t>
            </w:r>
          </w:p>
        </w:tc>
      </w:tr>
      <w:tr w14:paraId="1E94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418" w:type="pct"/>
            <w:vAlign w:val="center"/>
          </w:tcPr>
          <w:p w14:paraId="7978B66C">
            <w:pPr>
              <w:spacing w:line="240" w:lineRule="auto"/>
              <w:jc w:val="center"/>
              <w:rPr>
                <w:rFonts w:ascii="仿宋" w:hAnsi="仿宋" w:eastAsia="仿宋" w:cs="仿宋_GB2312"/>
                <w:kern w:val="0"/>
                <w:sz w:val="24"/>
              </w:rPr>
            </w:pPr>
            <w:r>
              <w:rPr>
                <w:rFonts w:hint="eastAsia" w:ascii="仿宋" w:hAnsi="仿宋" w:eastAsia="仿宋" w:cs="仿宋_GB2312"/>
                <w:kern w:val="0"/>
                <w:sz w:val="24"/>
              </w:rPr>
              <w:t>4</w:t>
            </w:r>
          </w:p>
        </w:tc>
        <w:tc>
          <w:tcPr>
            <w:tcW w:w="768" w:type="pct"/>
            <w:vAlign w:val="center"/>
          </w:tcPr>
          <w:p w14:paraId="26FB4E1D">
            <w:pPr>
              <w:spacing w:line="240" w:lineRule="auto"/>
              <w:jc w:val="center"/>
              <w:rPr>
                <w:rFonts w:ascii="仿宋" w:hAnsi="仿宋" w:eastAsia="仿宋" w:cs="仿宋_GB2312"/>
                <w:kern w:val="0"/>
                <w:sz w:val="24"/>
              </w:rPr>
            </w:pPr>
            <w:r>
              <w:rPr>
                <w:rFonts w:hint="eastAsia" w:ascii="仿宋" w:hAnsi="仿宋" w:eastAsia="仿宋" w:cs="仿宋_GB2312"/>
                <w:kern w:val="0"/>
                <w:sz w:val="24"/>
              </w:rPr>
              <w:t>企业荣誉</w:t>
            </w:r>
          </w:p>
        </w:tc>
        <w:tc>
          <w:tcPr>
            <w:tcW w:w="3377" w:type="pct"/>
            <w:vAlign w:val="center"/>
          </w:tcPr>
          <w:p w14:paraId="67A98C9A">
            <w:pPr>
              <w:spacing w:line="240" w:lineRule="auto"/>
              <w:rPr>
                <w:rFonts w:ascii="仿宋" w:hAnsi="仿宋" w:eastAsia="仿宋" w:cs="仿宋_GB2312"/>
                <w:kern w:val="0"/>
                <w:sz w:val="24"/>
              </w:rPr>
            </w:pPr>
            <w:r>
              <w:rPr>
                <w:rFonts w:ascii="仿宋" w:hAnsi="仿宋" w:eastAsia="仿宋" w:cs="仿宋_GB2312"/>
                <w:kern w:val="0"/>
                <w:sz w:val="24"/>
              </w:rPr>
              <w:t>自2020年1月1日以来（以颁奖时间为准），投标人获得</w:t>
            </w:r>
            <w:r>
              <w:rPr>
                <w:rFonts w:hint="eastAsia" w:ascii="仿宋" w:hAnsi="仿宋" w:eastAsia="仿宋" w:cs="仿宋_GB2312"/>
                <w:kern w:val="0"/>
                <w:sz w:val="24"/>
              </w:rPr>
              <w:t>地市级及以上党政机关</w:t>
            </w:r>
            <w:r>
              <w:rPr>
                <w:rFonts w:ascii="仿宋" w:hAnsi="仿宋" w:eastAsia="仿宋" w:cs="仿宋_GB2312"/>
                <w:kern w:val="0"/>
                <w:sz w:val="24"/>
              </w:rPr>
              <w:t>颁发的城市轨道交通（不含有轨电车）相关奖项，每</w:t>
            </w:r>
            <w:r>
              <w:rPr>
                <w:rFonts w:hint="eastAsia" w:ascii="仿宋" w:hAnsi="仿宋" w:eastAsia="仿宋" w:cs="仿宋_GB2312"/>
                <w:kern w:val="0"/>
                <w:sz w:val="24"/>
              </w:rPr>
              <w:t>提供1个</w:t>
            </w:r>
            <w:r>
              <w:rPr>
                <w:rFonts w:ascii="仿宋" w:hAnsi="仿宋" w:eastAsia="仿宋" w:cs="仿宋_GB2312"/>
                <w:kern w:val="0"/>
                <w:sz w:val="24"/>
              </w:rPr>
              <w:t>奖项得</w:t>
            </w:r>
            <w:r>
              <w:rPr>
                <w:rFonts w:hint="eastAsia" w:ascii="仿宋" w:hAnsi="仿宋" w:eastAsia="仿宋" w:cs="仿宋_GB2312"/>
                <w:kern w:val="0"/>
                <w:sz w:val="24"/>
              </w:rPr>
              <w:t>3</w:t>
            </w:r>
            <w:r>
              <w:rPr>
                <w:rFonts w:ascii="仿宋" w:hAnsi="仿宋" w:eastAsia="仿宋" w:cs="仿宋_GB2312"/>
                <w:kern w:val="0"/>
                <w:sz w:val="24"/>
              </w:rPr>
              <w:t>分，满分</w:t>
            </w:r>
            <w:r>
              <w:rPr>
                <w:rFonts w:hint="eastAsia" w:ascii="仿宋" w:hAnsi="仿宋" w:eastAsia="仿宋" w:cs="仿宋_GB2312"/>
                <w:kern w:val="0"/>
                <w:sz w:val="24"/>
              </w:rPr>
              <w:t>9</w:t>
            </w:r>
            <w:r>
              <w:rPr>
                <w:rFonts w:ascii="仿宋" w:hAnsi="仿宋" w:eastAsia="仿宋" w:cs="仿宋_GB2312"/>
                <w:kern w:val="0"/>
                <w:sz w:val="24"/>
              </w:rPr>
              <w:t>分。</w:t>
            </w:r>
          </w:p>
          <w:p w14:paraId="6C2008B3">
            <w:pPr>
              <w:spacing w:line="240" w:lineRule="auto"/>
              <w:rPr>
                <w:rFonts w:ascii="仿宋" w:hAnsi="仿宋" w:eastAsia="仿宋" w:cs="仿宋_GB2312"/>
                <w:kern w:val="0"/>
                <w:sz w:val="24"/>
              </w:rPr>
            </w:pPr>
            <w:r>
              <w:rPr>
                <w:rFonts w:ascii="仿宋" w:hAnsi="仿宋" w:eastAsia="仿宋" w:cs="仿宋_GB2312"/>
                <w:kern w:val="0"/>
                <w:sz w:val="24"/>
              </w:rPr>
              <w:t>注：</w:t>
            </w:r>
            <w:r>
              <w:rPr>
                <w:rFonts w:hint="eastAsia" w:ascii="仿宋" w:hAnsi="仿宋" w:eastAsia="仿宋" w:cs="仿宋_GB2312"/>
                <w:kern w:val="0"/>
                <w:sz w:val="24"/>
              </w:rPr>
              <w:t>（1）</w:t>
            </w:r>
            <w:r>
              <w:rPr>
                <w:rFonts w:ascii="仿宋" w:hAnsi="仿宋" w:eastAsia="仿宋" w:cs="仿宋_GB2312"/>
                <w:kern w:val="0"/>
                <w:sz w:val="24"/>
              </w:rPr>
              <w:t>投标文件中须提供下列材料：获奖证书、批复、颁奖单位颁奖文件、网上公示截图（具有其中之一即可）等证明材料。证明材料须能体现投标人全称，如无法体现，须另附颁奖单位的相关证明材料，未提供或提供不全的不得分。</w:t>
            </w:r>
          </w:p>
          <w:p w14:paraId="11F07233">
            <w:pPr>
              <w:spacing w:line="240" w:lineRule="auto"/>
              <w:rPr>
                <w:rFonts w:ascii="仿宋" w:hAnsi="仿宋" w:eastAsia="仿宋" w:cs="仿宋_GB2312"/>
                <w:kern w:val="0"/>
                <w:sz w:val="24"/>
              </w:rPr>
            </w:pPr>
            <w:r>
              <w:rPr>
                <w:rFonts w:hint="eastAsia" w:ascii="仿宋" w:hAnsi="仿宋" w:eastAsia="仿宋" w:cs="仿宋_GB2312"/>
                <w:kern w:val="0"/>
                <w:sz w:val="24"/>
              </w:rPr>
              <w:t>（2）党政机关包括：党的机关、人大机关、行政机关、政协机关、审判机关、检察机关，及各级党政机关派出机构、直属事业单位及工会、共青团、妇联等。</w:t>
            </w:r>
          </w:p>
        </w:tc>
        <w:tc>
          <w:tcPr>
            <w:tcW w:w="437" w:type="pct"/>
            <w:vAlign w:val="center"/>
          </w:tcPr>
          <w:p w14:paraId="5059C2D4">
            <w:pPr>
              <w:widowControl/>
              <w:spacing w:line="240" w:lineRule="auto"/>
              <w:jc w:val="center"/>
              <w:rPr>
                <w:rFonts w:ascii="仿宋" w:hAnsi="仿宋" w:eastAsia="仿宋" w:cs="仿宋_GB2312"/>
                <w:sz w:val="24"/>
              </w:rPr>
            </w:pPr>
            <w:r>
              <w:rPr>
                <w:rFonts w:hint="eastAsia" w:ascii="仿宋" w:hAnsi="仿宋" w:eastAsia="仿宋" w:cs="仿宋_GB2312"/>
                <w:sz w:val="24"/>
              </w:rPr>
              <w:t>9</w:t>
            </w:r>
          </w:p>
        </w:tc>
      </w:tr>
      <w:tr w14:paraId="50E7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418" w:type="pct"/>
            <w:vAlign w:val="center"/>
          </w:tcPr>
          <w:p w14:paraId="7EE1DBE3">
            <w:pPr>
              <w:spacing w:line="240" w:lineRule="auto"/>
              <w:jc w:val="center"/>
              <w:rPr>
                <w:rFonts w:ascii="仿宋" w:hAnsi="仿宋" w:eastAsia="仿宋" w:cs="仿宋_GB2312"/>
                <w:kern w:val="0"/>
                <w:sz w:val="24"/>
              </w:rPr>
            </w:pPr>
            <w:r>
              <w:rPr>
                <w:rFonts w:hint="eastAsia" w:ascii="仿宋" w:hAnsi="仿宋" w:eastAsia="仿宋" w:cs="仿宋_GB2312"/>
                <w:kern w:val="0"/>
                <w:sz w:val="24"/>
              </w:rPr>
              <w:t>5</w:t>
            </w:r>
          </w:p>
        </w:tc>
        <w:tc>
          <w:tcPr>
            <w:tcW w:w="768" w:type="pct"/>
            <w:vAlign w:val="center"/>
          </w:tcPr>
          <w:p w14:paraId="39BD8B0D">
            <w:pPr>
              <w:spacing w:line="240" w:lineRule="auto"/>
              <w:jc w:val="center"/>
              <w:rPr>
                <w:rFonts w:ascii="仿宋" w:hAnsi="仿宋" w:eastAsia="仿宋" w:cs="仿宋_GB2312"/>
                <w:kern w:val="0"/>
                <w:sz w:val="24"/>
              </w:rPr>
            </w:pPr>
            <w:r>
              <w:rPr>
                <w:rFonts w:hint="eastAsia" w:ascii="仿宋" w:hAnsi="仿宋" w:eastAsia="仿宋" w:cs="仿宋_GB2312"/>
                <w:kern w:val="0"/>
                <w:sz w:val="24"/>
              </w:rPr>
              <w:t>企业实力</w:t>
            </w:r>
          </w:p>
        </w:tc>
        <w:tc>
          <w:tcPr>
            <w:tcW w:w="3377" w:type="pct"/>
            <w:vAlign w:val="center"/>
          </w:tcPr>
          <w:p w14:paraId="0B91F65C">
            <w:pPr>
              <w:spacing w:line="240" w:lineRule="auto"/>
              <w:rPr>
                <w:rFonts w:ascii="仿宋" w:hAnsi="仿宋" w:eastAsia="仿宋" w:cs="仿宋_GB2312"/>
                <w:kern w:val="0"/>
                <w:sz w:val="24"/>
              </w:rPr>
            </w:pPr>
            <w:r>
              <w:rPr>
                <w:rFonts w:hint="eastAsia" w:ascii="仿宋" w:hAnsi="仿宋" w:eastAsia="仿宋" w:cs="仿宋_GB2312"/>
                <w:kern w:val="0"/>
                <w:sz w:val="24"/>
              </w:rPr>
              <w:t>具备轨道交通车站疏散能力相关CMA或CNAS资质，每提供一个得3分，最高得6分，未提供不得分。</w:t>
            </w:r>
          </w:p>
          <w:p w14:paraId="378C47AB">
            <w:pPr>
              <w:spacing w:line="240" w:lineRule="auto"/>
              <w:rPr>
                <w:rFonts w:ascii="仿宋" w:hAnsi="仿宋" w:eastAsia="仿宋" w:cs="仿宋_GB2312"/>
                <w:kern w:val="0"/>
                <w:sz w:val="24"/>
              </w:rPr>
            </w:pPr>
            <w:r>
              <w:rPr>
                <w:rFonts w:hint="eastAsia" w:ascii="仿宋" w:hAnsi="仿宋" w:eastAsia="仿宋" w:cs="仿宋_GB2312"/>
                <w:kern w:val="0"/>
                <w:sz w:val="24"/>
              </w:rPr>
              <w:t>投标文件中须提供证明材料复印件，复印件加盖公章。</w:t>
            </w:r>
          </w:p>
        </w:tc>
        <w:tc>
          <w:tcPr>
            <w:tcW w:w="437" w:type="pct"/>
            <w:vAlign w:val="center"/>
          </w:tcPr>
          <w:p w14:paraId="1BA62BB6">
            <w:pPr>
              <w:widowControl/>
              <w:spacing w:line="240" w:lineRule="auto"/>
              <w:jc w:val="center"/>
              <w:rPr>
                <w:rFonts w:ascii="仿宋" w:hAnsi="仿宋" w:eastAsia="仿宋" w:cs="仿宋_GB2312"/>
                <w:sz w:val="24"/>
              </w:rPr>
            </w:pPr>
            <w:r>
              <w:rPr>
                <w:rFonts w:hint="eastAsia" w:ascii="仿宋" w:hAnsi="仿宋" w:eastAsia="仿宋" w:cs="仿宋_GB2312"/>
                <w:sz w:val="24"/>
              </w:rPr>
              <w:t>6</w:t>
            </w:r>
          </w:p>
        </w:tc>
      </w:tr>
    </w:tbl>
    <w:p w14:paraId="3FA761CF">
      <w:pPr>
        <w:spacing w:line="52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2、技术部分（50分）</w:t>
      </w:r>
    </w:p>
    <w:tbl>
      <w:tblPr>
        <w:tblStyle w:val="21"/>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23"/>
        <w:gridCol w:w="5816"/>
        <w:gridCol w:w="753"/>
      </w:tblGrid>
      <w:tr w14:paraId="6029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18" w:type="pct"/>
            <w:vAlign w:val="center"/>
          </w:tcPr>
          <w:p w14:paraId="0D869B16">
            <w:pPr>
              <w:widowControl/>
              <w:spacing w:line="240" w:lineRule="auto"/>
              <w:jc w:val="center"/>
              <w:rPr>
                <w:rFonts w:ascii="仿宋" w:hAnsi="仿宋" w:eastAsia="仿宋" w:cs="仿宋_GB2312"/>
                <w:b/>
                <w:sz w:val="24"/>
              </w:rPr>
            </w:pPr>
            <w:r>
              <w:rPr>
                <w:rFonts w:hint="eastAsia" w:ascii="仿宋" w:hAnsi="仿宋" w:eastAsia="仿宋" w:cs="仿宋_GB2312"/>
                <w:b/>
                <w:sz w:val="24"/>
              </w:rPr>
              <w:t>序号</w:t>
            </w:r>
          </w:p>
        </w:tc>
        <w:tc>
          <w:tcPr>
            <w:tcW w:w="768" w:type="pct"/>
            <w:vAlign w:val="center"/>
          </w:tcPr>
          <w:p w14:paraId="7FF855BB">
            <w:pPr>
              <w:spacing w:line="240" w:lineRule="auto"/>
              <w:jc w:val="center"/>
              <w:rPr>
                <w:rFonts w:ascii="仿宋" w:hAnsi="仿宋" w:eastAsia="仿宋" w:cs="仿宋_GB2312"/>
                <w:b/>
                <w:sz w:val="24"/>
              </w:rPr>
            </w:pPr>
            <w:r>
              <w:rPr>
                <w:rFonts w:hint="eastAsia" w:ascii="仿宋" w:hAnsi="仿宋" w:eastAsia="仿宋" w:cs="仿宋_GB2312"/>
                <w:b/>
                <w:sz w:val="24"/>
              </w:rPr>
              <w:t>项目</w:t>
            </w:r>
          </w:p>
        </w:tc>
        <w:tc>
          <w:tcPr>
            <w:tcW w:w="3377" w:type="pct"/>
            <w:vAlign w:val="center"/>
          </w:tcPr>
          <w:p w14:paraId="74FDF6B8">
            <w:pPr>
              <w:spacing w:line="240" w:lineRule="auto"/>
              <w:jc w:val="center"/>
              <w:rPr>
                <w:rFonts w:ascii="仿宋" w:hAnsi="仿宋" w:eastAsia="仿宋" w:cs="仿宋_GB2312"/>
                <w:b/>
                <w:sz w:val="24"/>
              </w:rPr>
            </w:pPr>
            <w:r>
              <w:rPr>
                <w:rFonts w:hint="eastAsia" w:ascii="仿宋" w:hAnsi="仿宋" w:eastAsia="仿宋" w:cs="仿宋_GB2312"/>
                <w:b/>
                <w:sz w:val="24"/>
              </w:rPr>
              <w:t>评分细则</w:t>
            </w:r>
          </w:p>
        </w:tc>
        <w:tc>
          <w:tcPr>
            <w:tcW w:w="437" w:type="pct"/>
            <w:vAlign w:val="center"/>
          </w:tcPr>
          <w:p w14:paraId="4DEEE090">
            <w:pPr>
              <w:widowControl/>
              <w:spacing w:line="240" w:lineRule="auto"/>
              <w:jc w:val="center"/>
              <w:rPr>
                <w:rFonts w:ascii="仿宋" w:hAnsi="仿宋" w:eastAsia="仿宋" w:cs="仿宋_GB2312"/>
                <w:b/>
                <w:sz w:val="24"/>
              </w:rPr>
            </w:pPr>
            <w:r>
              <w:rPr>
                <w:rFonts w:hint="eastAsia" w:ascii="仿宋" w:hAnsi="仿宋" w:eastAsia="仿宋" w:cs="仿宋_GB2312"/>
                <w:b/>
                <w:sz w:val="24"/>
              </w:rPr>
              <w:t>分值</w:t>
            </w:r>
          </w:p>
        </w:tc>
      </w:tr>
      <w:tr w14:paraId="4518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18" w:type="pct"/>
            <w:vAlign w:val="center"/>
          </w:tcPr>
          <w:p w14:paraId="49DF5A1F">
            <w:pPr>
              <w:spacing w:line="240" w:lineRule="auto"/>
              <w:jc w:val="center"/>
              <w:rPr>
                <w:rFonts w:ascii="仿宋" w:hAnsi="仿宋" w:eastAsia="仿宋" w:cs="仿宋_GB2312"/>
                <w:kern w:val="0"/>
                <w:sz w:val="24"/>
              </w:rPr>
            </w:pPr>
            <w:r>
              <w:rPr>
                <w:rFonts w:hint="eastAsia" w:ascii="仿宋" w:hAnsi="仿宋" w:eastAsia="仿宋" w:cs="仿宋_GB2312"/>
                <w:kern w:val="0"/>
                <w:sz w:val="24"/>
              </w:rPr>
              <w:t>1</w:t>
            </w:r>
          </w:p>
        </w:tc>
        <w:tc>
          <w:tcPr>
            <w:tcW w:w="768" w:type="pct"/>
            <w:vAlign w:val="center"/>
          </w:tcPr>
          <w:p w14:paraId="18912198">
            <w:pPr>
              <w:spacing w:line="240" w:lineRule="auto"/>
              <w:jc w:val="center"/>
              <w:rPr>
                <w:rFonts w:ascii="仿宋" w:hAnsi="仿宋" w:eastAsia="仿宋" w:cs="仿宋_GB2312"/>
                <w:kern w:val="0"/>
                <w:sz w:val="24"/>
              </w:rPr>
            </w:pPr>
            <w:r>
              <w:rPr>
                <w:rFonts w:hint="eastAsia" w:ascii="仿宋" w:hAnsi="仿宋" w:eastAsia="仿宋" w:cs="仿宋_GB2312"/>
                <w:kern w:val="0"/>
                <w:sz w:val="24"/>
              </w:rPr>
              <w:t>项目实施方案</w:t>
            </w:r>
          </w:p>
        </w:tc>
        <w:tc>
          <w:tcPr>
            <w:tcW w:w="3377" w:type="pct"/>
            <w:vAlign w:val="center"/>
          </w:tcPr>
          <w:p w14:paraId="12C27EE4">
            <w:pPr>
              <w:spacing w:line="240" w:lineRule="auto"/>
              <w:rPr>
                <w:rFonts w:ascii="仿宋" w:hAnsi="仿宋" w:eastAsia="仿宋" w:cs="仿宋_GB2312"/>
                <w:kern w:val="0"/>
                <w:sz w:val="24"/>
              </w:rPr>
            </w:pPr>
            <w:r>
              <w:rPr>
                <w:rFonts w:hint="eastAsia" w:ascii="仿宋" w:hAnsi="仿宋" w:eastAsia="仿宋" w:cs="仿宋_GB2312"/>
                <w:kern w:val="0"/>
                <w:sz w:val="24"/>
              </w:rPr>
              <w:t>根据投标人提供的实施方案系统全面，科学可行由评审小组综合评分。方案完善可行的得10-15分，方案可行性一般的得5-10分，可行性较差的得1-5分，未提供不得分。</w:t>
            </w:r>
          </w:p>
        </w:tc>
        <w:tc>
          <w:tcPr>
            <w:tcW w:w="437" w:type="pct"/>
            <w:vAlign w:val="center"/>
          </w:tcPr>
          <w:p w14:paraId="4A8AACEC">
            <w:pPr>
              <w:widowControl/>
              <w:spacing w:line="240" w:lineRule="auto"/>
              <w:jc w:val="center"/>
              <w:rPr>
                <w:rFonts w:ascii="仿宋" w:hAnsi="仿宋" w:eastAsia="仿宋" w:cs="仿宋_GB2312"/>
                <w:sz w:val="24"/>
              </w:rPr>
            </w:pPr>
            <w:r>
              <w:rPr>
                <w:rFonts w:hint="eastAsia" w:ascii="仿宋" w:hAnsi="仿宋" w:eastAsia="仿宋" w:cs="仿宋_GB2312"/>
                <w:sz w:val="24"/>
              </w:rPr>
              <w:t>1</w:t>
            </w:r>
            <w:r>
              <w:rPr>
                <w:rFonts w:ascii="仿宋" w:hAnsi="仿宋" w:eastAsia="仿宋" w:cs="仿宋_GB2312"/>
                <w:sz w:val="24"/>
              </w:rPr>
              <w:t>5</w:t>
            </w:r>
          </w:p>
        </w:tc>
      </w:tr>
      <w:tr w14:paraId="67B4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418" w:type="pct"/>
            <w:vAlign w:val="center"/>
          </w:tcPr>
          <w:p w14:paraId="5DD0B58A">
            <w:pPr>
              <w:spacing w:line="240" w:lineRule="auto"/>
              <w:jc w:val="center"/>
              <w:rPr>
                <w:rFonts w:ascii="仿宋" w:hAnsi="仿宋" w:eastAsia="仿宋" w:cs="仿宋_GB2312"/>
                <w:kern w:val="0"/>
                <w:sz w:val="24"/>
              </w:rPr>
            </w:pPr>
            <w:r>
              <w:rPr>
                <w:rFonts w:hint="eastAsia" w:ascii="仿宋" w:hAnsi="仿宋" w:eastAsia="仿宋" w:cs="仿宋_GB2312"/>
                <w:kern w:val="0"/>
                <w:sz w:val="24"/>
              </w:rPr>
              <w:t>2</w:t>
            </w:r>
          </w:p>
        </w:tc>
        <w:tc>
          <w:tcPr>
            <w:tcW w:w="768" w:type="pct"/>
            <w:vAlign w:val="center"/>
          </w:tcPr>
          <w:p w14:paraId="2AD16871">
            <w:pPr>
              <w:spacing w:line="240" w:lineRule="auto"/>
              <w:jc w:val="center"/>
              <w:rPr>
                <w:rFonts w:ascii="仿宋" w:hAnsi="仿宋" w:eastAsia="仿宋" w:cs="仿宋_GB2312"/>
                <w:kern w:val="0"/>
                <w:sz w:val="24"/>
              </w:rPr>
            </w:pPr>
            <w:r>
              <w:rPr>
                <w:rFonts w:hint="eastAsia" w:ascii="仿宋" w:hAnsi="仿宋" w:eastAsia="仿宋" w:cs="仿宋_GB2312"/>
                <w:kern w:val="0"/>
                <w:sz w:val="24"/>
              </w:rPr>
              <w:t>拟投入的仪器设备</w:t>
            </w:r>
          </w:p>
        </w:tc>
        <w:tc>
          <w:tcPr>
            <w:tcW w:w="3377" w:type="pct"/>
            <w:vAlign w:val="center"/>
          </w:tcPr>
          <w:p w14:paraId="3EA093D0">
            <w:pPr>
              <w:spacing w:line="240" w:lineRule="auto"/>
              <w:rPr>
                <w:rFonts w:ascii="仿宋" w:hAnsi="仿宋" w:eastAsia="仿宋" w:cs="仿宋_GB2312"/>
                <w:kern w:val="0"/>
                <w:sz w:val="24"/>
              </w:rPr>
            </w:pPr>
            <w:r>
              <w:rPr>
                <w:rFonts w:hint="eastAsia" w:ascii="仿宋" w:hAnsi="仿宋" w:eastAsia="仿宋" w:cs="仿宋_GB2312"/>
                <w:kern w:val="0"/>
                <w:sz w:val="24"/>
              </w:rPr>
              <w:t>根据投标人提供的检测评价仪器齐全，具有自主知识产权或自主购买的疏散模拟、城市轨道交通运营安全评估、地铁防灾功能系统软件的由评审小组综合评分，评价设备软件完全的得7-10分；评价设备软件较齐全的得3-7分；评价设备缺失的得1-3分；未提供不得分。（投标文件中需提供知识产权或购买证明材料）</w:t>
            </w:r>
          </w:p>
        </w:tc>
        <w:tc>
          <w:tcPr>
            <w:tcW w:w="437" w:type="pct"/>
            <w:vAlign w:val="center"/>
          </w:tcPr>
          <w:p w14:paraId="31536775">
            <w:pPr>
              <w:widowControl/>
              <w:spacing w:line="240" w:lineRule="auto"/>
              <w:jc w:val="center"/>
              <w:rPr>
                <w:rFonts w:ascii="仿宋" w:hAnsi="仿宋" w:eastAsia="仿宋" w:cs="仿宋_GB2312"/>
                <w:sz w:val="24"/>
              </w:rPr>
            </w:pPr>
            <w:r>
              <w:rPr>
                <w:rFonts w:ascii="仿宋" w:hAnsi="仿宋" w:eastAsia="仿宋" w:cs="仿宋_GB2312"/>
                <w:sz w:val="24"/>
              </w:rPr>
              <w:t>10</w:t>
            </w:r>
          </w:p>
        </w:tc>
      </w:tr>
      <w:tr w14:paraId="6F35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18" w:type="pct"/>
            <w:vAlign w:val="center"/>
          </w:tcPr>
          <w:p w14:paraId="1D0E67F7">
            <w:pPr>
              <w:spacing w:line="240" w:lineRule="auto"/>
              <w:jc w:val="center"/>
              <w:rPr>
                <w:rFonts w:ascii="仿宋" w:hAnsi="仿宋" w:eastAsia="仿宋" w:cs="仿宋_GB2312"/>
                <w:kern w:val="0"/>
                <w:sz w:val="24"/>
              </w:rPr>
            </w:pPr>
            <w:r>
              <w:rPr>
                <w:rFonts w:hint="eastAsia" w:ascii="仿宋" w:hAnsi="仿宋" w:eastAsia="仿宋" w:cs="仿宋_GB2312"/>
                <w:kern w:val="0"/>
                <w:sz w:val="24"/>
              </w:rPr>
              <w:t>3</w:t>
            </w:r>
          </w:p>
        </w:tc>
        <w:tc>
          <w:tcPr>
            <w:tcW w:w="768" w:type="pct"/>
            <w:vAlign w:val="center"/>
          </w:tcPr>
          <w:p w14:paraId="4CB7243B">
            <w:pPr>
              <w:spacing w:line="240" w:lineRule="auto"/>
              <w:jc w:val="center"/>
              <w:rPr>
                <w:rFonts w:ascii="仿宋" w:hAnsi="仿宋" w:eastAsia="仿宋" w:cs="仿宋_GB2312"/>
                <w:kern w:val="0"/>
                <w:sz w:val="24"/>
              </w:rPr>
            </w:pPr>
            <w:r>
              <w:rPr>
                <w:rFonts w:hint="eastAsia" w:ascii="仿宋" w:hAnsi="仿宋" w:eastAsia="仿宋" w:cs="仿宋_GB2312"/>
                <w:kern w:val="0"/>
                <w:sz w:val="24"/>
              </w:rPr>
              <w:t>大客流车站疏散模拟测试方案</w:t>
            </w:r>
          </w:p>
        </w:tc>
        <w:tc>
          <w:tcPr>
            <w:tcW w:w="3377" w:type="pct"/>
            <w:vAlign w:val="center"/>
          </w:tcPr>
          <w:p w14:paraId="28F5B970">
            <w:pPr>
              <w:spacing w:line="240" w:lineRule="auto"/>
              <w:rPr>
                <w:rFonts w:ascii="仿宋" w:hAnsi="仿宋" w:eastAsia="仿宋" w:cs="仿宋_GB2312"/>
                <w:kern w:val="0"/>
                <w:sz w:val="24"/>
              </w:rPr>
            </w:pPr>
            <w:r>
              <w:rPr>
                <w:rFonts w:hint="eastAsia" w:ascii="仿宋" w:hAnsi="仿宋" w:eastAsia="仿宋" w:cs="仿宋_GB2312"/>
                <w:kern w:val="0"/>
                <w:sz w:val="24"/>
              </w:rPr>
              <w:t>投标人具有正版的疏散模拟软件，提供详细的大客流车站疏散通过能力模拟测试方案及丰富的经验及能力由评审小组综合评分。内容详细丰富，能力强的得6-10分；内容较丰富，能力较强的得3-6分；内容缺失，能力一般的得1-3分，未提供不得分。</w:t>
            </w:r>
          </w:p>
        </w:tc>
        <w:tc>
          <w:tcPr>
            <w:tcW w:w="437" w:type="pct"/>
            <w:vAlign w:val="center"/>
          </w:tcPr>
          <w:p w14:paraId="75D7B488">
            <w:pPr>
              <w:widowControl/>
              <w:spacing w:line="240" w:lineRule="auto"/>
              <w:jc w:val="center"/>
              <w:rPr>
                <w:rFonts w:ascii="仿宋" w:hAnsi="仿宋" w:eastAsia="仿宋" w:cs="仿宋_GB2312"/>
                <w:sz w:val="24"/>
              </w:rPr>
            </w:pPr>
            <w:r>
              <w:rPr>
                <w:rFonts w:hint="eastAsia" w:ascii="仿宋" w:hAnsi="仿宋" w:eastAsia="仿宋" w:cs="仿宋_GB2312"/>
                <w:sz w:val="24"/>
              </w:rPr>
              <w:t>10</w:t>
            </w:r>
          </w:p>
        </w:tc>
      </w:tr>
      <w:tr w14:paraId="0B80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18" w:type="pct"/>
            <w:vAlign w:val="center"/>
          </w:tcPr>
          <w:p w14:paraId="7CB14600">
            <w:pPr>
              <w:spacing w:line="240" w:lineRule="auto"/>
              <w:jc w:val="center"/>
              <w:rPr>
                <w:rFonts w:ascii="仿宋" w:hAnsi="仿宋" w:eastAsia="仿宋" w:cs="仿宋_GB2312"/>
                <w:kern w:val="0"/>
                <w:sz w:val="24"/>
              </w:rPr>
            </w:pPr>
            <w:r>
              <w:rPr>
                <w:rFonts w:hint="eastAsia" w:ascii="仿宋" w:hAnsi="仿宋" w:eastAsia="仿宋" w:cs="仿宋_GB2312"/>
                <w:kern w:val="0"/>
                <w:sz w:val="24"/>
              </w:rPr>
              <w:t>4</w:t>
            </w:r>
          </w:p>
        </w:tc>
        <w:tc>
          <w:tcPr>
            <w:tcW w:w="768" w:type="pct"/>
            <w:vAlign w:val="center"/>
          </w:tcPr>
          <w:p w14:paraId="37D77A7E">
            <w:pPr>
              <w:spacing w:line="240" w:lineRule="auto"/>
              <w:jc w:val="center"/>
              <w:rPr>
                <w:rFonts w:ascii="仿宋" w:hAnsi="仿宋" w:eastAsia="仿宋" w:cs="仿宋_GB2312"/>
                <w:kern w:val="0"/>
                <w:sz w:val="24"/>
              </w:rPr>
            </w:pPr>
            <w:r>
              <w:rPr>
                <w:rFonts w:hint="eastAsia" w:ascii="仿宋" w:hAnsi="仿宋" w:eastAsia="仿宋" w:cs="仿宋_GB2312"/>
                <w:kern w:val="0"/>
                <w:sz w:val="24"/>
              </w:rPr>
              <w:t>评价计划及质量保证措施</w:t>
            </w:r>
          </w:p>
        </w:tc>
        <w:tc>
          <w:tcPr>
            <w:tcW w:w="3377" w:type="pct"/>
            <w:vAlign w:val="center"/>
          </w:tcPr>
          <w:p w14:paraId="6082FD6D">
            <w:pPr>
              <w:spacing w:line="240" w:lineRule="auto"/>
              <w:rPr>
                <w:rFonts w:ascii="仿宋" w:hAnsi="仿宋" w:eastAsia="仿宋" w:cs="仿宋_GB2312"/>
                <w:kern w:val="0"/>
                <w:sz w:val="24"/>
              </w:rPr>
            </w:pPr>
            <w:r>
              <w:rPr>
                <w:rFonts w:hint="eastAsia" w:ascii="仿宋" w:hAnsi="仿宋" w:eastAsia="仿宋" w:cs="仿宋_GB2312"/>
                <w:kern w:val="0"/>
                <w:sz w:val="24"/>
              </w:rPr>
              <w:t>根据投标人提供的项目组织及工作计划安排完整、合理、可行，咨询服务质量保障科学系统，后期跟踪服务，由评审小组综合评分，整体方案完整、合理、可行性强的得</w:t>
            </w:r>
            <w:r>
              <w:rPr>
                <w:rFonts w:hint="eastAsia" w:ascii="仿宋" w:hAnsi="仿宋" w:eastAsia="仿宋"/>
                <w:sz w:val="24"/>
              </w:rPr>
              <w:t>3-5分</w:t>
            </w:r>
            <w:r>
              <w:rPr>
                <w:rFonts w:hint="eastAsia" w:ascii="仿宋" w:hAnsi="仿宋" w:eastAsia="仿宋" w:cs="仿宋_GB2312"/>
                <w:kern w:val="0"/>
                <w:sz w:val="24"/>
              </w:rPr>
              <w:t>；整体方案、合理、可行性较强的得</w:t>
            </w:r>
            <w:r>
              <w:rPr>
                <w:rFonts w:hint="eastAsia" w:ascii="仿宋" w:hAnsi="仿宋" w:eastAsia="仿宋"/>
                <w:sz w:val="24"/>
              </w:rPr>
              <w:t>2-3分</w:t>
            </w:r>
            <w:r>
              <w:rPr>
                <w:rFonts w:hint="eastAsia" w:ascii="仿宋" w:hAnsi="仿宋" w:eastAsia="仿宋" w:cs="仿宋_GB2312"/>
                <w:kern w:val="0"/>
                <w:sz w:val="24"/>
              </w:rPr>
              <w:t>；整体方案有缺失，合理及可行性一般的得</w:t>
            </w:r>
            <w:r>
              <w:rPr>
                <w:rFonts w:hint="eastAsia" w:ascii="仿宋" w:hAnsi="仿宋" w:eastAsia="仿宋"/>
                <w:sz w:val="24"/>
              </w:rPr>
              <w:t>1-2</w:t>
            </w:r>
            <w:r>
              <w:rPr>
                <w:rFonts w:hint="eastAsia" w:ascii="仿宋" w:hAnsi="仿宋" w:eastAsia="仿宋" w:cs="仿宋_GB2312"/>
                <w:kern w:val="0"/>
                <w:sz w:val="24"/>
              </w:rPr>
              <w:t>分；未提供不得分。</w:t>
            </w:r>
          </w:p>
        </w:tc>
        <w:tc>
          <w:tcPr>
            <w:tcW w:w="437" w:type="pct"/>
            <w:vAlign w:val="center"/>
          </w:tcPr>
          <w:p w14:paraId="1C412DA5">
            <w:pPr>
              <w:widowControl/>
              <w:spacing w:line="240" w:lineRule="auto"/>
              <w:jc w:val="center"/>
              <w:rPr>
                <w:rFonts w:ascii="仿宋" w:hAnsi="仿宋" w:eastAsia="仿宋" w:cs="仿宋_GB2312"/>
                <w:sz w:val="24"/>
              </w:rPr>
            </w:pPr>
            <w:r>
              <w:rPr>
                <w:rFonts w:hint="eastAsia" w:ascii="仿宋" w:hAnsi="仿宋" w:eastAsia="仿宋" w:cs="仿宋_GB2312"/>
                <w:sz w:val="24"/>
              </w:rPr>
              <w:t>5</w:t>
            </w:r>
          </w:p>
        </w:tc>
      </w:tr>
      <w:tr w14:paraId="5429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18" w:type="pct"/>
            <w:vAlign w:val="center"/>
          </w:tcPr>
          <w:p w14:paraId="67627BDE">
            <w:pPr>
              <w:spacing w:line="240" w:lineRule="auto"/>
              <w:jc w:val="center"/>
              <w:rPr>
                <w:rFonts w:ascii="仿宋" w:hAnsi="仿宋" w:eastAsia="仿宋" w:cs="仿宋_GB2312"/>
                <w:kern w:val="0"/>
                <w:sz w:val="24"/>
              </w:rPr>
            </w:pPr>
            <w:r>
              <w:rPr>
                <w:rFonts w:hint="eastAsia" w:ascii="仿宋" w:hAnsi="仿宋" w:eastAsia="仿宋" w:cs="仿宋_GB2312"/>
                <w:kern w:val="0"/>
                <w:sz w:val="24"/>
              </w:rPr>
              <w:t>5</w:t>
            </w:r>
          </w:p>
        </w:tc>
        <w:tc>
          <w:tcPr>
            <w:tcW w:w="768" w:type="pct"/>
            <w:vAlign w:val="center"/>
          </w:tcPr>
          <w:p w14:paraId="4836DF2C">
            <w:pPr>
              <w:tabs>
                <w:tab w:val="left" w:pos="1080"/>
              </w:tabs>
              <w:rPr>
                <w:rFonts w:ascii="仿宋" w:hAnsi="仿宋" w:eastAsia="仿宋" w:cs="仿宋_GB2312"/>
                <w:kern w:val="0"/>
                <w:sz w:val="24"/>
              </w:rPr>
            </w:pPr>
            <w:r>
              <w:rPr>
                <w:rFonts w:hint="eastAsia" w:ascii="仿宋" w:hAnsi="仿宋" w:eastAsia="仿宋"/>
                <w:sz w:val="24"/>
              </w:rPr>
              <w:t>内部组织管理</w:t>
            </w:r>
          </w:p>
        </w:tc>
        <w:tc>
          <w:tcPr>
            <w:tcW w:w="3377" w:type="pct"/>
            <w:vAlign w:val="center"/>
          </w:tcPr>
          <w:p w14:paraId="7C1C678F">
            <w:pPr>
              <w:pStyle w:val="43"/>
              <w:adjustRightInd/>
              <w:jc w:val="both"/>
              <w:rPr>
                <w:rFonts w:ascii="仿宋" w:hAnsi="仿宋" w:eastAsia="仿宋"/>
                <w:color w:val="auto"/>
              </w:rPr>
            </w:pPr>
            <w:r>
              <w:rPr>
                <w:rFonts w:hint="eastAsia" w:ascii="仿宋" w:hAnsi="仿宋" w:eastAsia="仿宋" w:cs="Times New Roman"/>
                <w:color w:val="auto"/>
                <w:kern w:val="2"/>
              </w:rPr>
              <w:t>根据投标人的组织机构，管理制度，单位内控体系等方面内容进行评分。内部组织管理方案</w:t>
            </w:r>
            <w:r>
              <w:rPr>
                <w:rFonts w:hint="eastAsia" w:ascii="仿宋" w:hAnsi="仿宋" w:eastAsia="仿宋"/>
                <w:color w:val="auto"/>
              </w:rPr>
              <w:t>完善可行的得</w:t>
            </w:r>
            <w:r>
              <w:rPr>
                <w:rFonts w:hint="eastAsia" w:ascii="仿宋" w:hAnsi="仿宋" w:eastAsia="仿宋"/>
              </w:rPr>
              <w:t>3-5分</w:t>
            </w:r>
            <w:r>
              <w:rPr>
                <w:rFonts w:hint="eastAsia" w:ascii="仿宋" w:hAnsi="仿宋" w:eastAsia="仿宋"/>
                <w:color w:val="auto"/>
              </w:rPr>
              <w:t>，较完善可行的得</w:t>
            </w:r>
            <w:r>
              <w:rPr>
                <w:rFonts w:hint="eastAsia" w:ascii="仿宋" w:hAnsi="仿宋" w:eastAsia="仿宋"/>
              </w:rPr>
              <w:t>2-3分</w:t>
            </w:r>
            <w:r>
              <w:rPr>
                <w:rFonts w:hint="eastAsia" w:ascii="仿宋" w:hAnsi="仿宋" w:eastAsia="仿宋"/>
                <w:color w:val="auto"/>
              </w:rPr>
              <w:t>，可行性一般的得</w:t>
            </w:r>
            <w:r>
              <w:rPr>
                <w:rFonts w:hint="eastAsia" w:ascii="仿宋" w:hAnsi="仿宋" w:eastAsia="仿宋"/>
              </w:rPr>
              <w:t>1-2</w:t>
            </w:r>
            <w:r>
              <w:rPr>
                <w:rFonts w:hint="eastAsia" w:ascii="仿宋" w:hAnsi="仿宋" w:eastAsia="仿宋"/>
                <w:color w:val="auto"/>
              </w:rPr>
              <w:t>分。未提供不得分。</w:t>
            </w:r>
          </w:p>
        </w:tc>
        <w:tc>
          <w:tcPr>
            <w:tcW w:w="437" w:type="pct"/>
            <w:vAlign w:val="center"/>
          </w:tcPr>
          <w:p w14:paraId="68BDCB36">
            <w:pPr>
              <w:widowControl/>
              <w:jc w:val="center"/>
              <w:rPr>
                <w:rFonts w:ascii="仿宋" w:hAnsi="仿宋" w:eastAsia="仿宋" w:cs="仿宋_GB2312"/>
                <w:sz w:val="24"/>
              </w:rPr>
            </w:pPr>
            <w:r>
              <w:rPr>
                <w:rFonts w:hint="eastAsia" w:ascii="仿宋" w:hAnsi="仿宋" w:eastAsia="仿宋" w:cs="仿宋_GB2312"/>
                <w:sz w:val="24"/>
              </w:rPr>
              <w:t>5</w:t>
            </w:r>
          </w:p>
        </w:tc>
      </w:tr>
      <w:tr w14:paraId="6762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18" w:type="pct"/>
            <w:vAlign w:val="center"/>
          </w:tcPr>
          <w:p w14:paraId="6428C7B3">
            <w:pPr>
              <w:spacing w:line="240" w:lineRule="auto"/>
              <w:jc w:val="center"/>
              <w:rPr>
                <w:rFonts w:ascii="仿宋" w:hAnsi="仿宋" w:eastAsia="仿宋" w:cs="仿宋_GB2312"/>
                <w:kern w:val="0"/>
                <w:sz w:val="24"/>
              </w:rPr>
            </w:pPr>
            <w:r>
              <w:rPr>
                <w:rFonts w:hint="eastAsia" w:ascii="仿宋" w:hAnsi="仿宋" w:eastAsia="仿宋" w:cs="仿宋_GB2312"/>
                <w:kern w:val="0"/>
                <w:sz w:val="24"/>
              </w:rPr>
              <w:t>6</w:t>
            </w:r>
          </w:p>
        </w:tc>
        <w:tc>
          <w:tcPr>
            <w:tcW w:w="768" w:type="pct"/>
            <w:vAlign w:val="center"/>
          </w:tcPr>
          <w:p w14:paraId="0B82158B">
            <w:pPr>
              <w:widowControl/>
              <w:spacing w:line="340" w:lineRule="exact"/>
              <w:jc w:val="center"/>
              <w:rPr>
                <w:rFonts w:ascii="仿宋" w:hAnsi="仿宋" w:eastAsia="仿宋"/>
                <w:sz w:val="24"/>
              </w:rPr>
            </w:pPr>
            <w:r>
              <w:rPr>
                <w:rFonts w:hint="eastAsia" w:ascii="仿宋" w:eastAsia="仿宋"/>
                <w:sz w:val="24"/>
              </w:rPr>
              <w:t>涉密管理</w:t>
            </w:r>
          </w:p>
        </w:tc>
        <w:tc>
          <w:tcPr>
            <w:tcW w:w="3377" w:type="pct"/>
            <w:vAlign w:val="center"/>
          </w:tcPr>
          <w:p w14:paraId="18811E1C">
            <w:pPr>
              <w:spacing w:line="340" w:lineRule="exact"/>
              <w:rPr>
                <w:rFonts w:ascii="仿宋" w:hAnsi="仿宋" w:eastAsia="仿宋" w:cs="Times New Roman"/>
              </w:rPr>
            </w:pPr>
            <w:r>
              <w:rPr>
                <w:rFonts w:hint="eastAsia" w:ascii="仿宋" w:eastAsia="仿宋"/>
                <w:sz w:val="24"/>
              </w:rPr>
              <w:t>根据投标人制定的项目保密管理制度、相应措施等进行评分。涉密管理方案</w:t>
            </w:r>
            <w:r>
              <w:rPr>
                <w:rFonts w:hint="eastAsia" w:ascii="仿宋" w:hAnsi="仿宋" w:eastAsia="仿宋"/>
                <w:sz w:val="24"/>
              </w:rPr>
              <w:t>完善可行的得3-5分，较完善可行的得2-3分，可行性</w:t>
            </w:r>
            <w:r>
              <w:rPr>
                <w:rFonts w:hint="eastAsia" w:ascii="仿宋" w:hAnsi="仿宋" w:eastAsia="仿宋"/>
              </w:rPr>
              <w:t>一般</w:t>
            </w:r>
            <w:r>
              <w:rPr>
                <w:rFonts w:hint="eastAsia" w:ascii="仿宋" w:hAnsi="仿宋" w:eastAsia="仿宋"/>
                <w:sz w:val="24"/>
              </w:rPr>
              <w:t>的得1-2分。未提供不得分。</w:t>
            </w:r>
          </w:p>
        </w:tc>
        <w:tc>
          <w:tcPr>
            <w:tcW w:w="437" w:type="pct"/>
            <w:vAlign w:val="center"/>
          </w:tcPr>
          <w:p w14:paraId="2C6CDCE2">
            <w:pPr>
              <w:widowControl/>
              <w:jc w:val="center"/>
              <w:rPr>
                <w:rFonts w:ascii="仿宋" w:hAnsi="仿宋" w:eastAsia="仿宋" w:cs="仿宋_GB2312"/>
                <w:sz w:val="24"/>
              </w:rPr>
            </w:pPr>
            <w:r>
              <w:rPr>
                <w:rFonts w:hint="eastAsia" w:ascii="仿宋" w:hAnsi="仿宋" w:eastAsia="仿宋" w:cs="仿宋_GB2312"/>
                <w:sz w:val="24"/>
              </w:rPr>
              <w:t>5</w:t>
            </w:r>
          </w:p>
        </w:tc>
      </w:tr>
    </w:tbl>
    <w:p w14:paraId="5852DA7A">
      <w:pPr>
        <w:spacing w:line="52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3、报价部分（10分）</w:t>
      </w:r>
    </w:p>
    <w:tbl>
      <w:tblPr>
        <w:tblStyle w:val="21"/>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23"/>
        <w:gridCol w:w="5816"/>
        <w:gridCol w:w="753"/>
      </w:tblGrid>
      <w:tr w14:paraId="1F4B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18" w:type="pct"/>
            <w:vAlign w:val="center"/>
          </w:tcPr>
          <w:p w14:paraId="0F32B6E9">
            <w:pPr>
              <w:widowControl/>
              <w:spacing w:line="240" w:lineRule="auto"/>
              <w:jc w:val="center"/>
              <w:rPr>
                <w:rFonts w:ascii="仿宋" w:hAnsi="仿宋" w:eastAsia="仿宋" w:cs="仿宋_GB2312"/>
                <w:b/>
                <w:sz w:val="24"/>
              </w:rPr>
            </w:pPr>
            <w:r>
              <w:rPr>
                <w:rFonts w:hint="eastAsia" w:ascii="仿宋" w:hAnsi="仿宋" w:eastAsia="仿宋" w:cs="仿宋_GB2312"/>
                <w:b/>
                <w:sz w:val="24"/>
              </w:rPr>
              <w:t>序号</w:t>
            </w:r>
          </w:p>
        </w:tc>
        <w:tc>
          <w:tcPr>
            <w:tcW w:w="768" w:type="pct"/>
            <w:vAlign w:val="center"/>
          </w:tcPr>
          <w:p w14:paraId="279FD4A0">
            <w:pPr>
              <w:spacing w:line="240" w:lineRule="auto"/>
              <w:jc w:val="center"/>
              <w:rPr>
                <w:rFonts w:ascii="仿宋" w:hAnsi="仿宋" w:eastAsia="仿宋" w:cs="仿宋_GB2312"/>
                <w:b/>
                <w:sz w:val="24"/>
              </w:rPr>
            </w:pPr>
            <w:r>
              <w:rPr>
                <w:rFonts w:hint="eastAsia" w:ascii="仿宋" w:hAnsi="仿宋" w:eastAsia="仿宋" w:cs="仿宋_GB2312"/>
                <w:b/>
                <w:sz w:val="24"/>
              </w:rPr>
              <w:t>项目</w:t>
            </w:r>
          </w:p>
        </w:tc>
        <w:tc>
          <w:tcPr>
            <w:tcW w:w="3377" w:type="pct"/>
            <w:vAlign w:val="center"/>
          </w:tcPr>
          <w:p w14:paraId="39ACB8A5">
            <w:pPr>
              <w:spacing w:line="240" w:lineRule="auto"/>
              <w:jc w:val="center"/>
              <w:rPr>
                <w:rFonts w:ascii="仿宋" w:hAnsi="仿宋" w:eastAsia="仿宋" w:cs="仿宋_GB2312"/>
                <w:b/>
                <w:sz w:val="24"/>
              </w:rPr>
            </w:pPr>
            <w:r>
              <w:rPr>
                <w:rFonts w:hint="eastAsia" w:ascii="仿宋" w:hAnsi="仿宋" w:eastAsia="仿宋" w:cs="仿宋_GB2312"/>
                <w:b/>
                <w:sz w:val="24"/>
              </w:rPr>
              <w:t>评分细则</w:t>
            </w:r>
          </w:p>
        </w:tc>
        <w:tc>
          <w:tcPr>
            <w:tcW w:w="437" w:type="pct"/>
            <w:vAlign w:val="center"/>
          </w:tcPr>
          <w:p w14:paraId="32346676">
            <w:pPr>
              <w:widowControl/>
              <w:spacing w:line="240" w:lineRule="auto"/>
              <w:jc w:val="center"/>
              <w:rPr>
                <w:rFonts w:ascii="仿宋" w:hAnsi="仿宋" w:eastAsia="仿宋" w:cs="仿宋_GB2312"/>
                <w:b/>
                <w:sz w:val="24"/>
              </w:rPr>
            </w:pPr>
            <w:r>
              <w:rPr>
                <w:rFonts w:hint="eastAsia" w:ascii="仿宋" w:hAnsi="仿宋" w:eastAsia="仿宋" w:cs="仿宋_GB2312"/>
                <w:b/>
                <w:sz w:val="24"/>
              </w:rPr>
              <w:t>分值</w:t>
            </w:r>
          </w:p>
        </w:tc>
      </w:tr>
      <w:tr w14:paraId="66AA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18" w:type="pct"/>
            <w:vAlign w:val="center"/>
          </w:tcPr>
          <w:p w14:paraId="314076AB">
            <w:pPr>
              <w:spacing w:line="240" w:lineRule="auto"/>
              <w:jc w:val="center"/>
              <w:rPr>
                <w:rFonts w:ascii="仿宋" w:hAnsi="仿宋" w:eastAsia="仿宋" w:cs="仿宋_GB2312"/>
                <w:kern w:val="0"/>
                <w:sz w:val="24"/>
              </w:rPr>
            </w:pPr>
            <w:r>
              <w:rPr>
                <w:rFonts w:hint="eastAsia" w:ascii="仿宋" w:hAnsi="仿宋" w:eastAsia="仿宋" w:cs="仿宋_GB2312"/>
                <w:kern w:val="0"/>
                <w:sz w:val="24"/>
              </w:rPr>
              <w:t>1</w:t>
            </w:r>
          </w:p>
        </w:tc>
        <w:tc>
          <w:tcPr>
            <w:tcW w:w="768" w:type="pct"/>
            <w:vAlign w:val="center"/>
          </w:tcPr>
          <w:p w14:paraId="1115581D">
            <w:pPr>
              <w:spacing w:line="240" w:lineRule="auto"/>
              <w:jc w:val="center"/>
              <w:rPr>
                <w:rFonts w:ascii="仿宋" w:hAnsi="仿宋" w:eastAsia="仿宋" w:cs="仿宋_GB2312"/>
                <w:kern w:val="0"/>
                <w:sz w:val="24"/>
              </w:rPr>
            </w:pPr>
            <w:r>
              <w:rPr>
                <w:rFonts w:hint="eastAsia" w:ascii="仿宋" w:hAnsi="仿宋" w:eastAsia="仿宋" w:cs="仿宋_GB2312"/>
                <w:kern w:val="0"/>
                <w:sz w:val="24"/>
              </w:rPr>
              <w:t>企业报价</w:t>
            </w:r>
          </w:p>
        </w:tc>
        <w:tc>
          <w:tcPr>
            <w:tcW w:w="3377" w:type="pct"/>
            <w:vAlign w:val="center"/>
          </w:tcPr>
          <w:p w14:paraId="7AE209C7">
            <w:pPr>
              <w:spacing w:line="240" w:lineRule="auto"/>
              <w:rPr>
                <w:rFonts w:ascii="仿宋" w:hAnsi="仿宋" w:eastAsia="仿宋" w:cs="仿宋_GB2312"/>
                <w:kern w:val="0"/>
                <w:sz w:val="24"/>
              </w:rPr>
            </w:pPr>
            <w:r>
              <w:rPr>
                <w:rFonts w:hint="eastAsia" w:ascii="仿宋" w:hAnsi="仿宋" w:eastAsia="仿宋" w:cs="仿宋_GB2312"/>
                <w:kern w:val="0"/>
                <w:sz w:val="24"/>
              </w:rPr>
              <w:t>投标报价得分=（基准价/企业报价）×10分。满足比选文件要求的所有有效投标报价中，最低的投标报价为评标基准价。</w:t>
            </w:r>
          </w:p>
        </w:tc>
        <w:tc>
          <w:tcPr>
            <w:tcW w:w="437" w:type="pct"/>
            <w:vAlign w:val="center"/>
          </w:tcPr>
          <w:p w14:paraId="4C9E0ECE">
            <w:pPr>
              <w:widowControl/>
              <w:spacing w:line="240" w:lineRule="auto"/>
              <w:jc w:val="center"/>
              <w:rPr>
                <w:rFonts w:ascii="仿宋" w:hAnsi="仿宋" w:eastAsia="仿宋" w:cs="仿宋_GB2312"/>
                <w:sz w:val="24"/>
              </w:rPr>
            </w:pPr>
            <w:r>
              <w:rPr>
                <w:rFonts w:hint="eastAsia" w:ascii="仿宋" w:hAnsi="仿宋" w:eastAsia="仿宋" w:cs="仿宋_GB2312"/>
                <w:sz w:val="24"/>
              </w:rPr>
              <w:t>10</w:t>
            </w:r>
          </w:p>
        </w:tc>
      </w:tr>
    </w:tbl>
    <w:p w14:paraId="03DBB74D">
      <w:pPr>
        <w:spacing w:line="52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w:t>
      </w: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val="zh-CN"/>
        </w:rPr>
        <w:t>）推荐</w:t>
      </w:r>
      <w:r>
        <w:rPr>
          <w:rFonts w:hint="eastAsia" w:ascii="仿宋_GB2312" w:hAnsi="仿宋_GB2312" w:eastAsia="仿宋_GB2312" w:cs="仿宋_GB2312"/>
          <w:b/>
          <w:bCs/>
          <w:sz w:val="32"/>
          <w:szCs w:val="32"/>
        </w:rPr>
        <w:t>中标</w:t>
      </w:r>
      <w:r>
        <w:rPr>
          <w:rFonts w:hint="eastAsia" w:ascii="仿宋_GB2312" w:hAnsi="仿宋_GB2312" w:eastAsia="仿宋_GB2312" w:cs="仿宋_GB2312"/>
          <w:b/>
          <w:bCs/>
          <w:sz w:val="32"/>
          <w:szCs w:val="32"/>
          <w:lang w:val="zh-CN"/>
        </w:rPr>
        <w:t>候选人</w:t>
      </w:r>
    </w:p>
    <w:p w14:paraId="41BCD247">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评审小组根据综合评分情况，按照评审得分由高到低顺序推荐1名中标候选人。如最高得分为两家或两家以上时，由采购人组成的磋商小组进行磋商确定。</w:t>
      </w:r>
      <w:r>
        <w:rPr>
          <w:rFonts w:hint="eastAsia" w:ascii="仿宋_GB2312" w:hAnsi="仿宋_GB2312" w:eastAsia="仿宋_GB2312" w:cs="仿宋_GB2312"/>
          <w:sz w:val="32"/>
          <w:szCs w:val="32"/>
        </w:rPr>
        <w:br w:type="page"/>
      </w:r>
    </w:p>
    <w:p w14:paraId="6B3FADD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廉洁自律承诺书</w:t>
      </w:r>
    </w:p>
    <w:p w14:paraId="7BBBD36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       公司</w:t>
      </w:r>
    </w:p>
    <w:p w14:paraId="6FA8F50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为维护公平竞争的市场环境，确保经济活动的廉洁性、合法性和透明度，防止任何形式的不正当交易及腐败行为，我单位作为投标人，郑重承诺如下:</w:t>
      </w:r>
    </w:p>
    <w:p w14:paraId="3FCCB76E">
      <w:pPr>
        <w:pStyle w:val="47"/>
        <w:widowControl/>
        <w:snapToGrid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1.严格遵守国家及地方关于招投标、市场竞争的相关法律法规，不使用不正当手段妨碍、排挤相关投标单位或串通投标。</w:t>
      </w:r>
    </w:p>
    <w:p w14:paraId="2BA5BF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2.不以任何形式(包括但不限于现金、礼品、有价证券回扣、佣金、提供旅游、娱乐活动等)向招标人员、评标专家或其他利害关系方进行贿赂或给予不正当利益。</w:t>
      </w:r>
    </w:p>
    <w:p w14:paraId="10A1B8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3.不进行任何可能影响招标公平、公正的活动或尝试干预评标过程。</w:t>
      </w:r>
    </w:p>
    <w:p w14:paraId="273638A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如违反上述承诺，我单位愿意接受包括但不限于取消投标资格、中标无效、列入不良行为记录名单等，给招标单位造成损失的，依法承担赔偿责任。</w:t>
      </w:r>
    </w:p>
    <w:p w14:paraId="662787C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54520DF">
      <w:pPr>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4DB6B332">
      <w:pPr>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1B"/>
    <w:rsid w:val="000257EF"/>
    <w:rsid w:val="000353E2"/>
    <w:rsid w:val="00040FAE"/>
    <w:rsid w:val="0005227B"/>
    <w:rsid w:val="000731FA"/>
    <w:rsid w:val="000D4EF4"/>
    <w:rsid w:val="000F4B7C"/>
    <w:rsid w:val="0015026E"/>
    <w:rsid w:val="00164832"/>
    <w:rsid w:val="001A0514"/>
    <w:rsid w:val="001A11BA"/>
    <w:rsid w:val="001D2A5C"/>
    <w:rsid w:val="001F0ECE"/>
    <w:rsid w:val="001F3E5E"/>
    <w:rsid w:val="002C40D2"/>
    <w:rsid w:val="002E7031"/>
    <w:rsid w:val="002E7A0B"/>
    <w:rsid w:val="002F7010"/>
    <w:rsid w:val="0032790C"/>
    <w:rsid w:val="00350185"/>
    <w:rsid w:val="00362B05"/>
    <w:rsid w:val="00377046"/>
    <w:rsid w:val="003E69F4"/>
    <w:rsid w:val="00403BE2"/>
    <w:rsid w:val="00405DA1"/>
    <w:rsid w:val="004069B1"/>
    <w:rsid w:val="004332A8"/>
    <w:rsid w:val="0045122F"/>
    <w:rsid w:val="00495DF6"/>
    <w:rsid w:val="004D3971"/>
    <w:rsid w:val="0051057E"/>
    <w:rsid w:val="00531CFC"/>
    <w:rsid w:val="0057408F"/>
    <w:rsid w:val="005846BE"/>
    <w:rsid w:val="00594FE1"/>
    <w:rsid w:val="005A261B"/>
    <w:rsid w:val="00607CB1"/>
    <w:rsid w:val="0068640F"/>
    <w:rsid w:val="007431C5"/>
    <w:rsid w:val="0074426A"/>
    <w:rsid w:val="00754230"/>
    <w:rsid w:val="00755158"/>
    <w:rsid w:val="00757B57"/>
    <w:rsid w:val="00776935"/>
    <w:rsid w:val="007908D4"/>
    <w:rsid w:val="007C230F"/>
    <w:rsid w:val="007E6FB1"/>
    <w:rsid w:val="008009C9"/>
    <w:rsid w:val="008053D8"/>
    <w:rsid w:val="008B78BC"/>
    <w:rsid w:val="008C454E"/>
    <w:rsid w:val="008D7D62"/>
    <w:rsid w:val="00955C7A"/>
    <w:rsid w:val="00977EF4"/>
    <w:rsid w:val="00996DD8"/>
    <w:rsid w:val="009B01EF"/>
    <w:rsid w:val="009E55FB"/>
    <w:rsid w:val="009E7522"/>
    <w:rsid w:val="00A02CCB"/>
    <w:rsid w:val="00A53942"/>
    <w:rsid w:val="00A77612"/>
    <w:rsid w:val="00AD6D08"/>
    <w:rsid w:val="00AE5B96"/>
    <w:rsid w:val="00B12FE1"/>
    <w:rsid w:val="00B1607D"/>
    <w:rsid w:val="00B204F1"/>
    <w:rsid w:val="00B2183F"/>
    <w:rsid w:val="00B25C10"/>
    <w:rsid w:val="00B54899"/>
    <w:rsid w:val="00B85FF1"/>
    <w:rsid w:val="00B90777"/>
    <w:rsid w:val="00BA5BAE"/>
    <w:rsid w:val="00C57F54"/>
    <w:rsid w:val="00CA7490"/>
    <w:rsid w:val="00D53185"/>
    <w:rsid w:val="00D5710B"/>
    <w:rsid w:val="00DE31AC"/>
    <w:rsid w:val="00E1288D"/>
    <w:rsid w:val="00E269A4"/>
    <w:rsid w:val="00E3175C"/>
    <w:rsid w:val="00E42B2C"/>
    <w:rsid w:val="00E94782"/>
    <w:rsid w:val="00EA3C63"/>
    <w:rsid w:val="00EE119E"/>
    <w:rsid w:val="00EE57EE"/>
    <w:rsid w:val="00F0674F"/>
    <w:rsid w:val="00F06EAD"/>
    <w:rsid w:val="00F340CD"/>
    <w:rsid w:val="00FF2201"/>
    <w:rsid w:val="7766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4"/>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8"/>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8"/>
    <w:semiHidden/>
    <w:unhideWhenUsed/>
    <w:qFormat/>
    <w:uiPriority w:val="99"/>
    <w:pPr>
      <w:spacing w:after="120"/>
    </w:pPr>
  </w:style>
  <w:style w:type="paragraph" w:styleId="12">
    <w:name w:val="Body Text Indent"/>
    <w:basedOn w:val="1"/>
    <w:link w:val="45"/>
    <w:semiHidden/>
    <w:unhideWhenUsed/>
    <w:qFormat/>
    <w:uiPriority w:val="99"/>
    <w:pPr>
      <w:spacing w:after="120"/>
      <w:ind w:left="420" w:leftChars="200"/>
    </w:pPr>
  </w:style>
  <w:style w:type="paragraph" w:styleId="13">
    <w:name w:val="Plain Text"/>
    <w:basedOn w:val="1"/>
    <w:link w:val="44"/>
    <w:autoRedefine/>
    <w:qFormat/>
    <w:uiPriority w:val="0"/>
    <w:pPr>
      <w:spacing w:after="0" w:line="240" w:lineRule="auto"/>
      <w:jc w:val="both"/>
    </w:pPr>
    <w:rPr>
      <w:sz w:val="24"/>
      <w14:ligatures w14:val="none"/>
    </w:rPr>
  </w:style>
  <w:style w:type="paragraph" w:styleId="14">
    <w:name w:val="Balloon Text"/>
    <w:basedOn w:val="1"/>
    <w:link w:val="52"/>
    <w:semiHidden/>
    <w:unhideWhenUsed/>
    <w:qFormat/>
    <w:uiPriority w:val="99"/>
    <w:pPr>
      <w:spacing w:after="0" w:line="240" w:lineRule="auto"/>
    </w:pPr>
    <w:rPr>
      <w:sz w:val="18"/>
      <w:szCs w:val="18"/>
    </w:rPr>
  </w:style>
  <w:style w:type="paragraph" w:styleId="15">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7">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9">
    <w:name w:val="Body Text First Indent"/>
    <w:basedOn w:val="11"/>
    <w:link w:val="49"/>
    <w:semiHidden/>
    <w:unhideWhenUsed/>
    <w:qFormat/>
    <w:uiPriority w:val="99"/>
    <w:pPr>
      <w:ind w:firstLine="420" w:firstLineChars="100"/>
    </w:pPr>
  </w:style>
  <w:style w:type="paragraph" w:styleId="20">
    <w:name w:val="Body Text First Indent 2"/>
    <w:basedOn w:val="12"/>
    <w:link w:val="46"/>
    <w:qFormat/>
    <w:uiPriority w:val="0"/>
    <w:pPr>
      <w:adjustRightInd w:val="0"/>
      <w:snapToGrid w:val="0"/>
      <w:spacing w:beforeAutospacing="1" w:afterAutospacing="1" w:line="360" w:lineRule="auto"/>
      <w:ind w:left="480" w:firstLine="562" w:firstLineChars="200"/>
    </w:pPr>
    <w:rPr>
      <w:rFonts w:hint="eastAsia" w:ascii="仿宋_GB2312" w:hAnsi="仿宋_GB2312" w:cs="Times New Roman"/>
      <w:sz w:val="21"/>
      <w:szCs w:val="30"/>
      <w:lang w:eastAsia="en-US"/>
      <w14:ligatures w14:val="none"/>
    </w:rPr>
  </w:style>
  <w:style w:type="character" w:customStyle="1" w:styleId="23">
    <w:name w:val="标题 1 Char"/>
    <w:basedOn w:val="22"/>
    <w:link w:val="2"/>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Char"/>
    <w:basedOn w:val="22"/>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Char"/>
    <w:basedOn w:val="22"/>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Char"/>
    <w:basedOn w:val="22"/>
    <w:link w:val="5"/>
    <w:semiHidden/>
    <w:qFormat/>
    <w:uiPriority w:val="9"/>
    <w:rPr>
      <w:rFonts w:cstheme="majorBidi"/>
      <w:color w:val="2F5597" w:themeColor="accent1" w:themeShade="BF"/>
      <w:sz w:val="28"/>
      <w:szCs w:val="28"/>
    </w:rPr>
  </w:style>
  <w:style w:type="character" w:customStyle="1" w:styleId="27">
    <w:name w:val="标题 5 Char"/>
    <w:basedOn w:val="22"/>
    <w:link w:val="6"/>
    <w:semiHidden/>
    <w:qFormat/>
    <w:uiPriority w:val="9"/>
    <w:rPr>
      <w:rFonts w:cstheme="majorBidi"/>
      <w:color w:val="2F5597" w:themeColor="accent1" w:themeShade="BF"/>
      <w:sz w:val="24"/>
    </w:rPr>
  </w:style>
  <w:style w:type="character" w:customStyle="1" w:styleId="28">
    <w:name w:val="标题 6 Char"/>
    <w:basedOn w:val="22"/>
    <w:link w:val="7"/>
    <w:semiHidden/>
    <w:qFormat/>
    <w:uiPriority w:val="9"/>
    <w:rPr>
      <w:rFonts w:cstheme="majorBidi"/>
      <w:b/>
      <w:bCs/>
      <w:color w:val="2F5597" w:themeColor="accent1" w:themeShade="BF"/>
    </w:rPr>
  </w:style>
  <w:style w:type="character" w:customStyle="1" w:styleId="29">
    <w:name w:val="标题 7 Char"/>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Char"/>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Char"/>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Char"/>
    <w:basedOn w:val="22"/>
    <w:link w:val="18"/>
    <w:qFormat/>
    <w:uiPriority w:val="10"/>
    <w:rPr>
      <w:rFonts w:asciiTheme="majorHAnsi" w:hAnsiTheme="majorHAnsi" w:eastAsiaTheme="majorEastAsia" w:cstheme="majorBidi"/>
      <w:spacing w:val="-10"/>
      <w:kern w:val="28"/>
      <w:sz w:val="56"/>
      <w:szCs w:val="56"/>
    </w:rPr>
  </w:style>
  <w:style w:type="character" w:customStyle="1" w:styleId="33">
    <w:name w:val="副标题 Char"/>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Char"/>
    <w:basedOn w:val="22"/>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2"/>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Char"/>
    <w:basedOn w:val="22"/>
    <w:link w:val="38"/>
    <w:qFormat/>
    <w:uiPriority w:val="30"/>
    <w:rPr>
      <w:i/>
      <w:iCs/>
      <w:color w:val="2F5597" w:themeColor="accent1" w:themeShade="BF"/>
    </w:rPr>
  </w:style>
  <w:style w:type="character" w:customStyle="1" w:styleId="40">
    <w:name w:val="Intense Reference"/>
    <w:basedOn w:val="22"/>
    <w:qFormat/>
    <w:uiPriority w:val="32"/>
    <w:rPr>
      <w:b/>
      <w:bCs/>
      <w:smallCaps/>
      <w:color w:val="2F5597" w:themeColor="accent1" w:themeShade="BF"/>
      <w:spacing w:val="5"/>
    </w:rPr>
  </w:style>
  <w:style w:type="character" w:customStyle="1" w:styleId="41">
    <w:name w:val="页眉 Char"/>
    <w:basedOn w:val="22"/>
    <w:link w:val="16"/>
    <w:qFormat/>
    <w:uiPriority w:val="99"/>
    <w:rPr>
      <w:sz w:val="18"/>
      <w:szCs w:val="18"/>
    </w:rPr>
  </w:style>
  <w:style w:type="character" w:customStyle="1" w:styleId="42">
    <w:name w:val="页脚 Char"/>
    <w:basedOn w:val="22"/>
    <w:link w:val="15"/>
    <w:qFormat/>
    <w:uiPriority w:val="99"/>
    <w:rPr>
      <w:sz w:val="18"/>
      <w:szCs w:val="18"/>
    </w:rPr>
  </w:style>
  <w:style w:type="paragraph" w:customStyle="1" w:styleId="43">
    <w:name w:val="Default"/>
    <w:qFormat/>
    <w:uiPriority w:val="0"/>
    <w:pPr>
      <w:widowControl w:val="0"/>
      <w:autoSpaceDE w:val="0"/>
      <w:autoSpaceDN w:val="0"/>
      <w:adjustRightInd w:val="0"/>
      <w:spacing w:after="0" w:line="240" w:lineRule="auto"/>
    </w:pPr>
    <w:rPr>
      <w:rFonts w:ascii="仿宋_GB2312" w:hAnsi="Times New Roman" w:eastAsia="仿宋_GB2312" w:cs="仿宋_GB2312"/>
      <w:color w:val="000000"/>
      <w:kern w:val="0"/>
      <w:sz w:val="24"/>
      <w:szCs w:val="24"/>
      <w:lang w:val="en-US" w:eastAsia="zh-CN" w:bidi="ar-SA"/>
      <w14:ligatures w14:val="none"/>
    </w:rPr>
  </w:style>
  <w:style w:type="character" w:customStyle="1" w:styleId="44">
    <w:name w:val="纯文本 Char"/>
    <w:basedOn w:val="22"/>
    <w:link w:val="13"/>
    <w:qFormat/>
    <w:uiPriority w:val="0"/>
    <w:rPr>
      <w:sz w:val="24"/>
      <w14:ligatures w14:val="none"/>
    </w:rPr>
  </w:style>
  <w:style w:type="character" w:customStyle="1" w:styleId="45">
    <w:name w:val="正文文本缩进 Char"/>
    <w:basedOn w:val="22"/>
    <w:link w:val="12"/>
    <w:semiHidden/>
    <w:qFormat/>
    <w:uiPriority w:val="99"/>
  </w:style>
  <w:style w:type="character" w:customStyle="1" w:styleId="46">
    <w:name w:val="正文首行缩进 2 Char"/>
    <w:basedOn w:val="45"/>
    <w:link w:val="20"/>
    <w:qFormat/>
    <w:uiPriority w:val="0"/>
    <w:rPr>
      <w:rFonts w:ascii="仿宋_GB2312" w:hAnsi="仿宋_GB2312" w:cs="Times New Roman"/>
      <w:sz w:val="21"/>
      <w:szCs w:val="30"/>
      <w:lang w:eastAsia="en-US"/>
      <w14:ligatures w14:val="none"/>
    </w:rPr>
  </w:style>
  <w:style w:type="paragraph" w:customStyle="1" w:styleId="47">
    <w:name w:val="正文文本首行缩进1"/>
    <w:basedOn w:val="11"/>
    <w:qFormat/>
    <w:uiPriority w:val="0"/>
    <w:pPr>
      <w:adjustRightInd w:val="0"/>
      <w:spacing w:after="0" w:line="312" w:lineRule="atLeast"/>
      <w:ind w:firstLine="420"/>
      <w:jc w:val="both"/>
      <w:textAlignment w:val="baseline"/>
    </w:pPr>
    <w:rPr>
      <w:rFonts w:ascii="宋体" w:hAnsi="宋体" w:eastAsia="宋体" w:cs="宋体"/>
      <w:kern w:val="0"/>
      <w:sz w:val="28"/>
      <w:lang w:eastAsia="en-US"/>
      <w14:ligatures w14:val="none"/>
    </w:rPr>
  </w:style>
  <w:style w:type="character" w:customStyle="1" w:styleId="48">
    <w:name w:val="正文文本 Char"/>
    <w:basedOn w:val="22"/>
    <w:link w:val="11"/>
    <w:semiHidden/>
    <w:qFormat/>
    <w:uiPriority w:val="99"/>
  </w:style>
  <w:style w:type="character" w:customStyle="1" w:styleId="49">
    <w:name w:val="正文首行缩进 Char"/>
    <w:basedOn w:val="48"/>
    <w:link w:val="19"/>
    <w:semiHidden/>
    <w:qFormat/>
    <w:uiPriority w:val="99"/>
  </w:style>
  <w:style w:type="paragraph" w:customStyle="1" w:styleId="50">
    <w:name w:val="样式1"/>
    <w:basedOn w:val="1"/>
    <w:qFormat/>
    <w:uiPriority w:val="0"/>
    <w:pPr>
      <w:widowControl/>
      <w:tabs>
        <w:tab w:val="left" w:pos="1212"/>
        <w:tab w:val="left" w:pos="3888"/>
      </w:tabs>
      <w:adjustRightInd w:val="0"/>
      <w:snapToGrid w:val="0"/>
      <w:spacing w:after="0" w:line="336" w:lineRule="auto"/>
      <w:ind w:firstLine="432"/>
    </w:pPr>
    <w:rPr>
      <w:rFonts w:ascii="宋体" w:hAnsi="宋体" w:eastAsia="宋体" w:cs="Times New Roman"/>
      <w:kern w:val="0"/>
      <w:sz w:val="24"/>
      <w:szCs w:val="20"/>
      <w14:ligatures w14:val="none"/>
    </w:rPr>
  </w:style>
  <w:style w:type="paragraph" w:customStyle="1" w:styleId="51">
    <w:name w:val="Revision"/>
    <w:hidden/>
    <w:semiHidden/>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52">
    <w:name w:val="批注框文本 Char"/>
    <w:basedOn w:val="22"/>
    <w:link w:val="1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1208</Words>
  <Characters>1249</Characters>
  <Lines>17</Lines>
  <Paragraphs>4</Paragraphs>
  <TotalTime>61</TotalTime>
  <ScaleCrop>false</ScaleCrop>
  <LinksUpToDate>false</LinksUpToDate>
  <CharactersWithSpaces>1263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2025-08-05T02:16:00Z</dcterms:created>
  <dc:creator>任飞</dc:creator>
  <cp:lastModifiedBy>萌萌噠</cp:lastModifiedBy>
  <cp:lastPrinted>2025-08-08T02:45:00Z</cp:lastPrinted>
  <dcterms:modified xsi:type="dcterms:W3CDTF">2025-08-20T02:46:47Z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0E086A2438B54D7E8F85D129009D355C_12</vt:lpwstr>
  </property>
</Properties>
</file>