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CA800">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27223B72">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D60C8CE">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14:paraId="6B715FC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096F4BB0">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71E13139">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许昌市中心城区城市照明提升工程</w:t>
            </w:r>
          </w:p>
          <w:p w14:paraId="41F2CBB3">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32"/>
                <w:szCs w:val="32"/>
                <w:lang w:val="en-US" w:eastAsia="zh-CN"/>
              </w:rPr>
              <w:t>监理标代理服务</w:t>
            </w:r>
          </w:p>
        </w:tc>
      </w:tr>
      <w:tr w14:paraId="7A1AD9A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32ADF8C2">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2F75608B">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33E6281B">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42574D50">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1E54A6D8">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3EB332B0">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6D007C4">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2C9112BC">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649816B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EB0E44B">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4FEC91CE">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7B2A55BA">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34242A2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65E67FA9">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lang w:val="en-US" w:eastAsia="zh-CN"/>
              </w:rPr>
              <w:t>下浮率**%</w:t>
            </w:r>
          </w:p>
        </w:tc>
      </w:tr>
    </w:tbl>
    <w:p w14:paraId="48CC5A6C">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A180F1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31C9BCDC">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3D406682">
      <w:pPr>
        <w:rPr>
          <w:rFonts w:hint="eastAsia" w:ascii="仿宋_GB2312" w:hAnsi="仿宋_GB2312" w:eastAsia="仿宋_GB2312" w:cs="仿宋_GB2312"/>
          <w:sz w:val="32"/>
          <w:szCs w:val="32"/>
          <w:highlight w:val="none"/>
          <w:lang w:val="en-US" w:eastAsia="zh-CN"/>
        </w:rPr>
      </w:pPr>
    </w:p>
    <w:p w14:paraId="3E4F2FC2">
      <w:pPr>
        <w:rPr>
          <w:rFonts w:hint="eastAsia" w:ascii="仿宋_GB2312" w:hAnsi="仿宋_GB2312" w:eastAsia="仿宋_GB2312" w:cs="仿宋_GB2312"/>
          <w:sz w:val="32"/>
          <w:szCs w:val="32"/>
          <w:highlight w:val="none"/>
          <w:lang w:val="en-US" w:eastAsia="zh-CN"/>
        </w:rPr>
      </w:pPr>
    </w:p>
    <w:p w14:paraId="3274906B">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1F745FB7">
      <w:pPr>
        <w:pStyle w:val="10"/>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3C0ACFD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08D16A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28D7A7E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759752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32983C8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0903AFD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6FD0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337737CF">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7E44236A">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7D72E3B4">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16F3D2C0">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0F89CCAD">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508400FD">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14:paraId="0F31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FFA8A2E">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39F3C922">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5A3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636BD706">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67C8B127">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7F0BE96E">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14:paraId="78AF28E4">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r>
              <w:rPr>
                <w:rFonts w:hint="eastAsia" w:eastAsia="仿宋_GB2312" w:cs="Times New Roman"/>
                <w:sz w:val="32"/>
                <w:szCs w:val="32"/>
                <w:lang w:val="en-US" w:eastAsia="zh-CN"/>
              </w:rPr>
              <w:t>。</w:t>
            </w:r>
          </w:p>
          <w:p w14:paraId="4DF44F30">
            <w:pPr>
              <w:widowControl/>
              <w:adjustRightInd w:val="0"/>
              <w:snapToGrid w:val="0"/>
              <w:spacing w:line="276" w:lineRule="auto"/>
              <w:jc w:val="left"/>
              <w:rPr>
                <w:rFonts w:hint="eastAsia" w:ascii="仿宋_GB2312" w:hAnsi="仿宋_GB2312" w:eastAsia="仿宋_GB2312" w:cs="仿宋_GB2312"/>
                <w:sz w:val="32"/>
                <w:szCs w:val="32"/>
              </w:rPr>
            </w:pPr>
            <w:r>
              <w:rPr>
                <w:rFonts w:hint="eastAsia" w:eastAsiaTheme="minorEastAsia"/>
                <w:position w:val="-26"/>
                <w:lang w:eastAsia="zh-CN"/>
              </w:rPr>
              <w:object>
                <v:shape id="_x0000_i1025" o:spt="75" type="#_x0000_t75" style="height:36pt;width:229.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14:paraId="46F6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576B606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4FE61C3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7C04B697">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1.阐述招标代理各阶段的工作内容、工作重点、工作方法和工作流程（0-10分）</w:t>
            </w:r>
          </w:p>
          <w:p w14:paraId="31978FD4">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2.阐述招投标过程中的风险防控及相应预案（0-10分）</w:t>
            </w:r>
          </w:p>
          <w:p w14:paraId="3BC28B73">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3.保密措施及档案管理制度（0-5分）</w:t>
            </w:r>
          </w:p>
          <w:p w14:paraId="41319CC3">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4.服务承诺（0-5分）</w:t>
            </w:r>
          </w:p>
        </w:tc>
      </w:tr>
      <w:tr w14:paraId="5027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1359D101">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7726F3D0">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18793789">
            <w:pPr>
              <w:adjustRightInd w:val="0"/>
              <w:snapToGrid w:val="0"/>
              <w:spacing w:line="276"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近3年承接过工程类招标代理服务的，每项得5分，本项最高得20分。</w:t>
            </w:r>
            <w:r>
              <w:rPr>
                <w:rFonts w:hint="default" w:ascii="Times New Roman" w:hAnsi="Times New Roman" w:eastAsia="仿宋_GB2312" w:cs="Times New Roman"/>
                <w:sz w:val="32"/>
                <w:szCs w:val="32"/>
                <w:lang w:val="en-US" w:eastAsia="zh-CN"/>
              </w:rPr>
              <w:t>（需提供网上中标结果公示、</w:t>
            </w:r>
            <w:r>
              <w:rPr>
                <w:rFonts w:hint="eastAsia" w:ascii="Times New Roman" w:hAnsi="Times New Roman" w:eastAsia="仿宋_GB2312" w:cs="Times New Roman"/>
                <w:sz w:val="32"/>
                <w:szCs w:val="32"/>
                <w:lang w:val="en-US" w:eastAsia="zh-CN"/>
              </w:rPr>
              <w:t>招标代理合同</w:t>
            </w:r>
            <w:r>
              <w:rPr>
                <w:rFonts w:hint="default" w:ascii="Times New Roman" w:hAnsi="Times New Roman" w:eastAsia="仿宋_GB2312" w:cs="Times New Roman"/>
                <w:sz w:val="32"/>
                <w:szCs w:val="32"/>
                <w:lang w:val="en-US" w:eastAsia="zh-CN"/>
              </w:rPr>
              <w:t>，申请文件中附复印件并加盖公章）</w:t>
            </w:r>
          </w:p>
        </w:tc>
      </w:tr>
      <w:tr w14:paraId="47DB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75523E4F">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14:paraId="28B4E119">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521C139D">
            <w:pPr>
              <w:pageBreakBefore w:val="0"/>
              <w:widowControl/>
              <w:kinsoku/>
              <w:wordWrap/>
              <w:overflowPunct/>
              <w:topLinePunct w:val="0"/>
              <w:bidi w:val="0"/>
              <w:adjustRightInd w:val="0"/>
              <w:snapToGrid w:val="0"/>
              <w:spacing w:line="540" w:lineRule="exact"/>
              <w:ind w:left="0" w:leftChars="0" w:right="0" w:rightChars="0"/>
              <w:jc w:val="both"/>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组人员</w:t>
            </w:r>
            <w:r>
              <w:rPr>
                <w:rFonts w:hint="default" w:ascii="Times New Roman" w:hAnsi="Times New Roman" w:eastAsia="仿宋_GB2312" w:cs="Times New Roman"/>
                <w:sz w:val="32"/>
                <w:szCs w:val="32"/>
                <w:lang w:val="zh-CN"/>
              </w:rPr>
              <w:t>具有</w:t>
            </w:r>
            <w:r>
              <w:rPr>
                <w:rFonts w:hint="eastAsia" w:eastAsia="仿宋_GB2312" w:cs="Times New Roman"/>
                <w:sz w:val="32"/>
                <w:szCs w:val="32"/>
                <w:lang w:val="en-US" w:eastAsia="zh-CN"/>
              </w:rPr>
              <w:t>工程类、经济类</w:t>
            </w:r>
            <w:r>
              <w:rPr>
                <w:rFonts w:hint="default" w:ascii="Times New Roman" w:hAnsi="Times New Roman" w:eastAsia="仿宋_GB2312" w:cs="Times New Roman"/>
                <w:sz w:val="32"/>
                <w:szCs w:val="32"/>
                <w:lang w:val="zh-CN"/>
              </w:rPr>
              <w:t>中级</w:t>
            </w:r>
            <w:r>
              <w:rPr>
                <w:rFonts w:hint="eastAsia" w:eastAsia="仿宋_GB2312" w:cs="Times New Roman"/>
                <w:sz w:val="32"/>
                <w:szCs w:val="32"/>
                <w:lang w:val="zh-CN"/>
              </w:rPr>
              <w:t>（</w:t>
            </w:r>
            <w:r>
              <w:rPr>
                <w:rFonts w:hint="eastAsia" w:eastAsia="仿宋_GB2312" w:cs="Times New Roman"/>
                <w:sz w:val="32"/>
                <w:szCs w:val="32"/>
                <w:lang w:val="en-US" w:eastAsia="zh-CN"/>
              </w:rPr>
              <w:t>含</w:t>
            </w:r>
            <w:r>
              <w:rPr>
                <w:rFonts w:hint="eastAsia" w:eastAsia="仿宋_GB2312" w:cs="Times New Roman"/>
                <w:sz w:val="32"/>
                <w:szCs w:val="32"/>
                <w:lang w:val="zh-CN"/>
              </w:rPr>
              <w:t>）</w:t>
            </w:r>
            <w:r>
              <w:rPr>
                <w:rFonts w:hint="eastAsia"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eastAsia" w:ascii="Times New Roman" w:hAnsi="Times New Roman" w:eastAsia="仿宋_GB2312" w:cs="Times New Roman"/>
                <w:sz w:val="32"/>
                <w:szCs w:val="32"/>
                <w:lang w:val="en-US" w:eastAsia="zh-CN"/>
              </w:rPr>
              <w:t>本项最高得20分。</w:t>
            </w:r>
          </w:p>
          <w:p w14:paraId="36BA12FD">
            <w:pPr>
              <w:pStyle w:val="2"/>
              <w:ind w:left="0" w:leftChars="0" w:firstLine="0" w:firstLineChars="0"/>
              <w:jc w:val="left"/>
              <w:rPr>
                <w:rFonts w:hint="eastAsia" w:ascii="仿宋_GB2312" w:hAnsi="仿宋_GB2312" w:eastAsia="仿宋_GB2312" w:cs="仿宋_GB2312"/>
                <w:sz w:val="32"/>
                <w:szCs w:val="32"/>
                <w:lang w:val="en-US" w:eastAsia="zh-CN"/>
              </w:rPr>
            </w:pPr>
            <w:r>
              <w:rPr>
                <w:rFonts w:hint="eastAsia" w:eastAsia="仿宋_GB2312" w:cs="Times New Roman"/>
                <w:sz w:val="32"/>
                <w:szCs w:val="32"/>
                <w:lang w:val="en-US" w:eastAsia="zh-CN"/>
              </w:rPr>
              <w:t>（需提劳动合同等证明材料及证书复印件）</w:t>
            </w:r>
          </w:p>
        </w:tc>
      </w:tr>
    </w:tbl>
    <w:p w14:paraId="4264601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15FAA1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3420390D">
      <w:pPr>
        <w:pStyle w:val="2"/>
        <w:rPr>
          <w:rFonts w:hint="eastAsia" w:ascii="仿宋" w:hAnsi="仿宋" w:eastAsia="仿宋" w:cs="仿宋"/>
          <w:sz w:val="32"/>
          <w:szCs w:val="32"/>
          <w:highlight w:val="none"/>
          <w:lang w:val="en-US" w:eastAsia="zh-CN"/>
        </w:rPr>
      </w:pPr>
    </w:p>
    <w:p w14:paraId="61618430">
      <w:pPr>
        <w:pStyle w:val="5"/>
        <w:rPr>
          <w:rFonts w:hint="eastAsia" w:ascii="仿宋" w:hAnsi="仿宋" w:eastAsia="仿宋" w:cs="仿宋"/>
          <w:sz w:val="32"/>
          <w:szCs w:val="32"/>
          <w:highlight w:val="none"/>
          <w:lang w:val="en-US" w:eastAsia="zh-CN"/>
        </w:rPr>
      </w:pPr>
    </w:p>
    <w:p w14:paraId="0CFE2675">
      <w:pPr>
        <w:pStyle w:val="5"/>
        <w:rPr>
          <w:rFonts w:hint="eastAsia" w:ascii="仿宋" w:hAnsi="仿宋" w:eastAsia="仿宋" w:cs="仿宋"/>
          <w:sz w:val="32"/>
          <w:szCs w:val="32"/>
          <w:highlight w:val="none"/>
          <w:lang w:val="en-US" w:eastAsia="zh-CN"/>
        </w:rPr>
      </w:pPr>
    </w:p>
    <w:p w14:paraId="1F12E181">
      <w:pPr>
        <w:pStyle w:val="5"/>
        <w:rPr>
          <w:rFonts w:hint="eastAsia" w:ascii="仿宋" w:hAnsi="仿宋" w:eastAsia="仿宋" w:cs="仿宋"/>
          <w:sz w:val="32"/>
          <w:szCs w:val="32"/>
          <w:highlight w:val="none"/>
          <w:lang w:val="en-US" w:eastAsia="zh-CN"/>
        </w:rPr>
      </w:pPr>
    </w:p>
    <w:p w14:paraId="7BD0EBC3">
      <w:pPr>
        <w:pStyle w:val="5"/>
        <w:rPr>
          <w:rFonts w:hint="eastAsia" w:ascii="仿宋" w:hAnsi="仿宋" w:eastAsia="仿宋" w:cs="仿宋"/>
          <w:sz w:val="32"/>
          <w:szCs w:val="32"/>
          <w:highlight w:val="none"/>
          <w:lang w:val="en-US" w:eastAsia="zh-CN"/>
        </w:rPr>
      </w:pPr>
    </w:p>
    <w:p w14:paraId="5887551B">
      <w:pPr>
        <w:pStyle w:val="5"/>
        <w:rPr>
          <w:rFonts w:hint="eastAsia" w:ascii="仿宋" w:hAnsi="仿宋" w:eastAsia="仿宋" w:cs="仿宋"/>
          <w:sz w:val="32"/>
          <w:szCs w:val="32"/>
          <w:highlight w:val="none"/>
          <w:lang w:val="en-US" w:eastAsia="zh-CN"/>
        </w:rPr>
      </w:pPr>
    </w:p>
    <w:p w14:paraId="452B2B9F">
      <w:pPr>
        <w:pStyle w:val="5"/>
        <w:rPr>
          <w:rFonts w:hint="eastAsia" w:ascii="仿宋" w:hAnsi="仿宋" w:eastAsia="仿宋" w:cs="仿宋"/>
          <w:sz w:val="32"/>
          <w:szCs w:val="32"/>
          <w:highlight w:val="none"/>
          <w:lang w:val="en-US" w:eastAsia="zh-CN"/>
        </w:rPr>
      </w:pPr>
    </w:p>
    <w:p w14:paraId="54430FA6">
      <w:pPr>
        <w:pStyle w:val="5"/>
        <w:rPr>
          <w:rFonts w:hint="eastAsia" w:ascii="仿宋" w:hAnsi="仿宋" w:eastAsia="仿宋" w:cs="仿宋"/>
          <w:sz w:val="32"/>
          <w:szCs w:val="32"/>
          <w:highlight w:val="none"/>
          <w:lang w:val="en-US" w:eastAsia="zh-CN"/>
        </w:rPr>
      </w:pPr>
    </w:p>
    <w:p w14:paraId="7ED93867">
      <w:pPr>
        <w:pStyle w:val="5"/>
        <w:rPr>
          <w:rFonts w:hint="eastAsia" w:ascii="仿宋" w:hAnsi="仿宋" w:eastAsia="仿宋" w:cs="仿宋"/>
          <w:sz w:val="32"/>
          <w:szCs w:val="32"/>
          <w:highlight w:val="none"/>
          <w:lang w:val="en-US" w:eastAsia="zh-CN"/>
        </w:rPr>
      </w:pPr>
    </w:p>
    <w:p w14:paraId="5B6D91D7">
      <w:pPr>
        <w:pStyle w:val="5"/>
        <w:ind w:left="0" w:leftChars="0" w:firstLine="0" w:firstLineChars="0"/>
        <w:rPr>
          <w:rFonts w:hint="eastAsia" w:ascii="仿宋" w:hAnsi="仿宋" w:eastAsia="仿宋" w:cs="仿宋"/>
          <w:sz w:val="32"/>
          <w:szCs w:val="32"/>
          <w:highlight w:val="none"/>
          <w:lang w:val="en-US" w:eastAsia="zh-CN"/>
        </w:rPr>
      </w:pPr>
    </w:p>
    <w:p w14:paraId="3D474B51">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279E1535">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0E5B6AE3">
      <w:pPr>
        <w:wordWrap/>
        <w:spacing w:line="560" w:lineRule="exact"/>
        <w:rPr>
          <w:rFonts w:hint="default" w:ascii="Times New Roman" w:hAnsi="Times New Roman" w:eastAsia="仿宋_GB2312" w:cs="Times New Roman"/>
          <w:color w:val="auto"/>
          <w:sz w:val="32"/>
          <w:szCs w:val="32"/>
        </w:rPr>
      </w:pPr>
    </w:p>
    <w:p w14:paraId="128DC5CF">
      <w:pPr>
        <w:wordWrap/>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61A1F112">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093F89CD">
      <w:pPr>
        <w:pStyle w:val="18"/>
        <w:widowControl/>
        <w:numPr>
          <w:ilvl w:val="0"/>
          <w:numId w:val="0"/>
        </w:numPr>
        <w:wordWrap/>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1C2F7D10">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34748205">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35FF66A2">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5F77528A">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4D8EDD44">
      <w:pPr>
        <w:ind w:firstLine="6400" w:firstLineChars="2000"/>
        <w:rPr>
          <w:rFonts w:hint="default" w:ascii="Times New Roman" w:hAnsi="Times New Roman" w:eastAsia="仿宋_GB2312" w:cs="Times New Roman"/>
          <w:sz w:val="32"/>
          <w:szCs w:val="32"/>
        </w:rPr>
      </w:pPr>
    </w:p>
    <w:p w14:paraId="7DA4832F">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40123CF8">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06FBE688">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7F4D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E261C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0E261C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33A76CC"/>
    <w:rsid w:val="0477594A"/>
    <w:rsid w:val="06170982"/>
    <w:rsid w:val="065A0AB0"/>
    <w:rsid w:val="07FF36BC"/>
    <w:rsid w:val="0A2C0437"/>
    <w:rsid w:val="0BFD4952"/>
    <w:rsid w:val="0DCD1AE2"/>
    <w:rsid w:val="0F1958F7"/>
    <w:rsid w:val="100B7DD6"/>
    <w:rsid w:val="117E16C8"/>
    <w:rsid w:val="17A51BCE"/>
    <w:rsid w:val="1CEB654E"/>
    <w:rsid w:val="1DC22489"/>
    <w:rsid w:val="1E6710C6"/>
    <w:rsid w:val="234B5C3C"/>
    <w:rsid w:val="250B339C"/>
    <w:rsid w:val="27BF38CF"/>
    <w:rsid w:val="283F1AED"/>
    <w:rsid w:val="29E1276B"/>
    <w:rsid w:val="2BC62952"/>
    <w:rsid w:val="2EC3522E"/>
    <w:rsid w:val="309143F1"/>
    <w:rsid w:val="331104CE"/>
    <w:rsid w:val="36EC5FD8"/>
    <w:rsid w:val="396F1F22"/>
    <w:rsid w:val="39B06AF4"/>
    <w:rsid w:val="3B930354"/>
    <w:rsid w:val="3BFE6232"/>
    <w:rsid w:val="3D1D6AF8"/>
    <w:rsid w:val="438D7307"/>
    <w:rsid w:val="454A3AE3"/>
    <w:rsid w:val="461026EE"/>
    <w:rsid w:val="464042EF"/>
    <w:rsid w:val="47B42BE7"/>
    <w:rsid w:val="47FB2A68"/>
    <w:rsid w:val="4A3D2009"/>
    <w:rsid w:val="4B2116C3"/>
    <w:rsid w:val="4F70758A"/>
    <w:rsid w:val="57543447"/>
    <w:rsid w:val="589C7FC2"/>
    <w:rsid w:val="596040BD"/>
    <w:rsid w:val="5CF873CF"/>
    <w:rsid w:val="61215F42"/>
    <w:rsid w:val="629E645C"/>
    <w:rsid w:val="62F72DBF"/>
    <w:rsid w:val="63B41DA5"/>
    <w:rsid w:val="655F1E1A"/>
    <w:rsid w:val="68F608D3"/>
    <w:rsid w:val="6BA97B57"/>
    <w:rsid w:val="6CAC04F4"/>
    <w:rsid w:val="6CE4105C"/>
    <w:rsid w:val="6EA54007"/>
    <w:rsid w:val="70722F5B"/>
    <w:rsid w:val="70D44079"/>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851</Words>
  <Characters>886</Characters>
  <Lines>0</Lines>
  <Paragraphs>0</Paragraphs>
  <TotalTime>1</TotalTime>
  <ScaleCrop>false</ScaleCrop>
  <LinksUpToDate>false</LinksUpToDate>
  <CharactersWithSpaces>911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2024-05-20T08:53:00Z</cp:lastPrinted>
  <dcterms:modified xsi:type="dcterms:W3CDTF">2025-09-12T01:34:34Z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AA4422206D684FD0B9B36D754EAAE37E_13</vt:lpwstr>
  </property>
  <property fmtid="{D5CDD505-2E9C-101B-9397-08002B2CF9AE}" pid="4" name="commondata">
    <vt:lpwstr>eyJoZGlkIjoiN2I0NDMxMDhhNzIxZjIxM2FiMjFkZWExNzY4MTY3OTUifQ==</vt:lpwstr>
  </property>
</Properties>
</file>