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444E">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附件1</w:t>
      </w:r>
    </w:p>
    <w:p w14:paraId="1C722014">
      <w:pPr>
        <w:shd w:val="clear" w:color="auto" w:fill="auto"/>
        <w:spacing w:line="56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报价单</w:t>
      </w:r>
    </w:p>
    <w:p w14:paraId="60730DD7">
      <w:pPr>
        <w:shd w:val="clear" w:color="auto" w:fill="auto"/>
        <w:spacing w:line="560" w:lineRule="exact"/>
        <w:jc w:val="center"/>
        <w:rPr>
          <w:rFonts w:hint="default" w:ascii="Times New Roman" w:hAnsi="Times New Roman" w:eastAsia="仿宋_GB2312" w:cs="Times New Roman"/>
          <w:b/>
          <w:sz w:val="32"/>
          <w:szCs w:val="32"/>
        </w:rPr>
      </w:pPr>
    </w:p>
    <w:tbl>
      <w:tblPr>
        <w:tblStyle w:val="14"/>
        <w:tblW w:w="8683" w:type="dxa"/>
        <w:tblInd w:w="0" w:type="dxa"/>
        <w:tblLayout w:type="fixed"/>
        <w:tblCellMar>
          <w:top w:w="15" w:type="dxa"/>
          <w:left w:w="15" w:type="dxa"/>
          <w:bottom w:w="15" w:type="dxa"/>
          <w:right w:w="15" w:type="dxa"/>
        </w:tblCellMar>
      </w:tblPr>
      <w:tblGrid>
        <w:gridCol w:w="3134"/>
        <w:gridCol w:w="5549"/>
      </w:tblGrid>
      <w:tr w14:paraId="044A49F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537973CC">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vAlign w:val="center"/>
          </w:tcPr>
          <w:p w14:paraId="2C33E067">
            <w:pPr>
              <w:keepNext w:val="0"/>
              <w:keepLines w:val="0"/>
              <w:pageBreakBefore w:val="0"/>
              <w:widowControl/>
              <w:shd w:val="clear" w:color="auto" w:fill="auto"/>
              <w:kinsoku/>
              <w:wordWrap/>
              <w:overflowPunct/>
              <w:topLinePunct w:val="0"/>
              <w:autoSpaceDE/>
              <w:autoSpaceDN/>
              <w:bidi w:val="0"/>
              <w:adjustRightInd/>
              <w:snapToGrid/>
              <w:spacing w:line="480" w:lineRule="exact"/>
              <w:jc w:val="center"/>
              <w:textAlignment w:val="center"/>
              <w:rPr>
                <w:rFonts w:hint="default" w:ascii="Times New Roman" w:hAnsi="Times New Roman" w:eastAsia="仿宋_GB2312" w:cs="Times New Roman"/>
                <w:b/>
                <w:color w:val="000000"/>
                <w:sz w:val="24"/>
                <w:szCs w:val="24"/>
                <w:lang w:val="en-US" w:eastAsia="zh-CN"/>
              </w:rPr>
            </w:pPr>
            <w:r>
              <w:rPr>
                <w:rFonts w:hint="eastAsia" w:ascii="Times New Roman" w:hAnsi="Times New Roman" w:eastAsia="仿宋_GB2312" w:cs="Times New Roman"/>
                <w:color w:val="auto"/>
                <w:sz w:val="32"/>
                <w:szCs w:val="32"/>
                <w:lang w:val="en-US" w:eastAsia="zh-CN"/>
              </w:rPr>
              <w:t>许昌市2025年城市更新供热基础设施工程</w:t>
            </w:r>
            <w:r>
              <w:rPr>
                <w:rFonts w:hint="default" w:ascii="Times New Roman" w:hAnsi="Times New Roman" w:eastAsia="仿宋_GB2312" w:cs="Times New Roman"/>
                <w:color w:val="auto"/>
                <w:sz w:val="32"/>
                <w:szCs w:val="32"/>
                <w:lang w:val="en-US" w:eastAsia="zh-CN"/>
              </w:rPr>
              <w:t>申报政府专项债实施方案咨询服务</w:t>
            </w:r>
            <w:bookmarkStart w:id="0" w:name="_GoBack"/>
            <w:bookmarkEnd w:id="0"/>
            <w:r>
              <w:rPr>
                <w:rFonts w:hint="eastAsia" w:eastAsia="仿宋_GB2312" w:cs="Times New Roman"/>
                <w:color w:val="auto"/>
                <w:sz w:val="32"/>
                <w:szCs w:val="32"/>
                <w:lang w:val="en-US" w:eastAsia="zh-CN"/>
              </w:rPr>
              <w:t>比选</w:t>
            </w:r>
          </w:p>
        </w:tc>
      </w:tr>
      <w:tr w14:paraId="097E9B9D">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vAlign w:val="center"/>
          </w:tcPr>
          <w:p w14:paraId="2F1A0E56">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vAlign w:val="center"/>
          </w:tcPr>
          <w:p w14:paraId="7E289EBF">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75267678">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3080FA51">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vAlign w:val="center"/>
          </w:tcPr>
          <w:p w14:paraId="60201582">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2855803F">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04DABCF">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vAlign w:val="center"/>
          </w:tcPr>
          <w:p w14:paraId="0DAF3858">
            <w:pPr>
              <w:widowControl/>
              <w:shd w:val="clear" w:color="auto" w:fill="auto"/>
              <w:spacing w:line="560" w:lineRule="exact"/>
              <w:jc w:val="center"/>
              <w:textAlignment w:val="center"/>
              <w:rPr>
                <w:rFonts w:hint="default" w:ascii="Times New Roman" w:hAnsi="Times New Roman" w:eastAsia="仿宋_GB2312" w:cs="Times New Roman"/>
                <w:b/>
                <w:color w:val="000000"/>
                <w:sz w:val="32"/>
                <w:szCs w:val="32"/>
              </w:rPr>
            </w:pPr>
          </w:p>
        </w:tc>
      </w:tr>
      <w:tr w14:paraId="0A390B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1FB1FA48">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eastAsia="zh-CN" w:bidi="ar"/>
              </w:rPr>
            </w:pPr>
            <w:r>
              <w:rPr>
                <w:rFonts w:hint="default" w:ascii="Times New Roman" w:hAnsi="Times New Roman" w:eastAsia="仿宋_GB2312" w:cs="Times New Roman"/>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vAlign w:val="center"/>
          </w:tcPr>
          <w:p w14:paraId="199F3F93">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p>
        </w:tc>
      </w:tr>
      <w:tr w14:paraId="72C0DFF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vAlign w:val="center"/>
          </w:tcPr>
          <w:p w14:paraId="6C945E36">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bidi="ar"/>
              </w:rPr>
            </w:pPr>
            <w:r>
              <w:rPr>
                <w:rFonts w:hint="default" w:ascii="Times New Roman" w:hAnsi="Times New Roman" w:eastAsia="仿宋_GB2312" w:cs="Times New Roman"/>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vAlign w:val="center"/>
          </w:tcPr>
          <w:p w14:paraId="6CBE669C">
            <w:pPr>
              <w:widowControl/>
              <w:shd w:val="clear" w:color="auto" w:fill="auto"/>
              <w:spacing w:line="560" w:lineRule="exact"/>
              <w:jc w:val="center"/>
              <w:textAlignment w:val="center"/>
              <w:rPr>
                <w:rFonts w:hint="default" w:ascii="Times New Roman" w:hAnsi="Times New Roman" w:eastAsia="仿宋_GB2312" w:cs="Times New Roman"/>
                <w:b/>
                <w:color w:val="000000"/>
                <w:kern w:val="0"/>
                <w:sz w:val="32"/>
                <w:szCs w:val="32"/>
                <w:lang w:val="en-US" w:bidi="ar"/>
              </w:rPr>
            </w:pPr>
          </w:p>
        </w:tc>
      </w:tr>
    </w:tbl>
    <w:p w14:paraId="0BFA6BB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2EABCA17">
      <w:pPr>
        <w:shd w:val="clear" w:color="auto" w:fill="auto"/>
        <w:adjustRightInd w:val="0"/>
        <w:spacing w:line="560" w:lineRule="exact"/>
        <w:ind w:firstLine="640" w:firstLineChars="200"/>
        <w:jc w:val="right"/>
        <w:rPr>
          <w:rFonts w:hint="default" w:ascii="Times New Roman" w:hAnsi="Times New Roman" w:eastAsia="仿宋_GB2312" w:cs="Times New Roman"/>
          <w:sz w:val="32"/>
          <w:szCs w:val="32"/>
          <w:highlight w:val="none"/>
          <w:lang w:val="en-US" w:eastAsia="zh-CN"/>
        </w:rPr>
      </w:pPr>
    </w:p>
    <w:p w14:paraId="474BB172">
      <w:pPr>
        <w:pStyle w:val="9"/>
        <w:ind w:firstLine="5461" w:firstLineChars="17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年    月    日</w:t>
      </w:r>
    </w:p>
    <w:p w14:paraId="3E4C5B80">
      <w:pPr>
        <w:rPr>
          <w:rFonts w:hint="default" w:ascii="Times New Roman" w:hAnsi="Times New Roman" w:eastAsia="仿宋_GB2312" w:cs="Times New Roman"/>
          <w:sz w:val="32"/>
          <w:szCs w:val="32"/>
          <w:highlight w:val="none"/>
          <w:lang w:val="en-US" w:eastAsia="zh-CN"/>
        </w:rPr>
      </w:pPr>
    </w:p>
    <w:p w14:paraId="71CE3DEC">
      <w:pPr>
        <w:rPr>
          <w:rFonts w:hint="default" w:ascii="Times New Roman" w:hAnsi="Times New Roman" w:eastAsia="仿宋_GB2312" w:cs="Times New Roman"/>
          <w:sz w:val="32"/>
          <w:szCs w:val="32"/>
          <w:highlight w:val="none"/>
          <w:lang w:val="en-US" w:eastAsia="zh-CN"/>
        </w:rPr>
      </w:pPr>
    </w:p>
    <w:p w14:paraId="0980394B">
      <w:pPr>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附件2</w:t>
      </w:r>
    </w:p>
    <w:p w14:paraId="5F8E9874">
      <w:pPr>
        <w:pStyle w:val="10"/>
        <w:spacing w:line="240" w:lineRule="auto"/>
        <w:ind w:firstLine="0" w:firstLineChars="0"/>
        <w:contextualSpacing/>
        <w:jc w:val="center"/>
        <w:rPr>
          <w:rFonts w:hint="default" w:ascii="Times New Roman" w:hAnsi="Times New Roman" w:eastAsia="方正小标宋简体" w:cs="Times New Roman"/>
          <w:b w:val="0"/>
          <w:bCs/>
          <w:sz w:val="44"/>
          <w:szCs w:val="44"/>
          <w:lang w:val="zh-CN"/>
        </w:rPr>
      </w:pPr>
      <w:r>
        <w:rPr>
          <w:rFonts w:hint="default" w:ascii="Times New Roman" w:hAnsi="Times New Roman" w:eastAsia="方正小标宋简体" w:cs="Times New Roman"/>
          <w:b w:val="0"/>
          <w:bCs/>
          <w:sz w:val="44"/>
          <w:szCs w:val="44"/>
          <w:lang w:val="zh-CN"/>
        </w:rPr>
        <w:t>评标标准</w:t>
      </w:r>
    </w:p>
    <w:p w14:paraId="6D36802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一、资格审查</w:t>
      </w:r>
    </w:p>
    <w:p w14:paraId="5CF22C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FF0000"/>
          <w:sz w:val="32"/>
          <w:szCs w:val="32"/>
          <w:lang w:val="zh-CN" w:eastAsia="zh-CN"/>
        </w:rPr>
      </w:pPr>
      <w:r>
        <w:rPr>
          <w:rFonts w:hint="default" w:ascii="Times New Roman" w:hAnsi="Times New Roman" w:eastAsia="仿宋_GB2312" w:cs="Times New Roman"/>
          <w:sz w:val="32"/>
          <w:szCs w:val="32"/>
          <w:lang w:eastAsia="zh-CN"/>
        </w:rPr>
        <w:t>评审小组对</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eastAsia="zh-CN"/>
        </w:rPr>
        <w:t>人资格进行检查。</w:t>
      </w:r>
      <w:r>
        <w:rPr>
          <w:rFonts w:hint="default" w:ascii="Times New Roman" w:hAnsi="Times New Roman" w:eastAsia="仿宋_GB2312" w:cs="Times New Roman"/>
          <w:sz w:val="32"/>
          <w:szCs w:val="32"/>
          <w:lang w:val="zh-CN" w:eastAsia="zh-CN"/>
        </w:rPr>
        <w:t>确定符合资格的</w:t>
      </w:r>
      <w:r>
        <w:rPr>
          <w:rFonts w:hint="default" w:ascii="Times New Roman" w:hAnsi="Times New Roman" w:eastAsia="仿宋_GB2312" w:cs="Times New Roman"/>
          <w:sz w:val="32"/>
          <w:szCs w:val="32"/>
          <w:lang w:val="en-US" w:eastAsia="zh-CN"/>
        </w:rPr>
        <w:t>申请</w:t>
      </w:r>
      <w:r>
        <w:rPr>
          <w:rFonts w:hint="default" w:ascii="Times New Roman" w:hAnsi="Times New Roman" w:eastAsia="仿宋_GB2312" w:cs="Times New Roman"/>
          <w:sz w:val="32"/>
          <w:szCs w:val="32"/>
          <w:lang w:val="zh-CN" w:eastAsia="zh-CN"/>
        </w:rPr>
        <w:t>人不少于3</w:t>
      </w:r>
      <w:r>
        <w:rPr>
          <w:rFonts w:hint="default" w:ascii="Times New Roman" w:hAnsi="Times New Roman" w:eastAsia="仿宋_GB2312" w:cs="Times New Roman"/>
          <w:color w:val="auto"/>
          <w:sz w:val="32"/>
          <w:szCs w:val="32"/>
          <w:lang w:val="zh-CN" w:eastAsia="zh-CN"/>
        </w:rPr>
        <w:t>家后对投标文件进行符合性审查，</w:t>
      </w:r>
      <w:r>
        <w:rPr>
          <w:rFonts w:hint="default" w:ascii="Times New Roman" w:hAnsi="Times New Roman" w:eastAsia="仿宋_GB2312" w:cs="Times New Roman"/>
          <w:color w:val="auto"/>
          <w:sz w:val="32"/>
          <w:szCs w:val="32"/>
          <w:lang w:val="en-US" w:eastAsia="zh-CN"/>
        </w:rPr>
        <w:t>少于三家则本次评标过程无效</w:t>
      </w:r>
      <w:r>
        <w:rPr>
          <w:rFonts w:hint="default" w:ascii="Times New Roman" w:hAnsi="Times New Roman" w:eastAsia="仿宋_GB2312" w:cs="Times New Roman"/>
          <w:color w:val="auto"/>
          <w:sz w:val="32"/>
          <w:szCs w:val="32"/>
          <w:lang w:val="zh-CN" w:eastAsia="zh-CN"/>
        </w:rPr>
        <w:t>。</w:t>
      </w:r>
    </w:p>
    <w:p w14:paraId="4D3D95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二、评审</w:t>
      </w:r>
    </w:p>
    <w:p w14:paraId="3665AA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（一）评审方法</w:t>
      </w:r>
    </w:p>
    <w:p w14:paraId="24B316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本项目采用综合评分法。总分为 100 分。</w:t>
      </w:r>
    </w:p>
    <w:p w14:paraId="09CD26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（二）评分办法</w:t>
      </w:r>
    </w:p>
    <w:tbl>
      <w:tblPr>
        <w:tblStyle w:val="14"/>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6786"/>
      </w:tblGrid>
      <w:tr w14:paraId="4585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13" w:type="dxa"/>
            <w:vAlign w:val="center"/>
          </w:tcPr>
          <w:p w14:paraId="08274823">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分值构成</w:t>
            </w:r>
          </w:p>
          <w:p w14:paraId="1B103667">
            <w:pPr>
              <w:tabs>
                <w:tab w:val="left" w:pos="1260"/>
              </w:tabs>
              <w:autoSpaceDE w:val="0"/>
              <w:autoSpaceDN w:val="0"/>
              <w:adjustRightInd w:val="0"/>
              <w:snapToGrid w:val="0"/>
              <w:spacing w:line="276" w:lineRule="auto"/>
              <w:jc w:val="center"/>
              <w:rPr>
                <w:rFonts w:hint="default" w:ascii="Times New Roman" w:hAnsi="Times New Roman" w:eastAsia="仿宋_GB2312" w:cs="Times New Roman"/>
                <w:sz w:val="32"/>
                <w:szCs w:val="32"/>
                <w:lang w:val="zh-CN"/>
              </w:rPr>
            </w:pPr>
            <w:r>
              <w:rPr>
                <w:rFonts w:hint="eastAsia" w:eastAsia="仿宋_GB2312" w:cs="Times New Roman"/>
                <w:sz w:val="32"/>
                <w:szCs w:val="32"/>
                <w:lang w:val="zh-CN"/>
              </w:rPr>
              <w:t>（</w:t>
            </w:r>
            <w:r>
              <w:rPr>
                <w:rFonts w:hint="default" w:ascii="Times New Roman" w:hAnsi="Times New Roman" w:eastAsia="仿宋_GB2312" w:cs="Times New Roman"/>
                <w:sz w:val="32"/>
                <w:szCs w:val="32"/>
                <w:lang w:val="zh-CN"/>
              </w:rPr>
              <w:t>总分100分</w:t>
            </w:r>
            <w:r>
              <w:rPr>
                <w:rFonts w:hint="eastAsia" w:eastAsia="仿宋_GB2312" w:cs="Times New Roman"/>
                <w:sz w:val="32"/>
                <w:szCs w:val="32"/>
                <w:lang w:val="zh-CN"/>
              </w:rPr>
              <w:t>）</w:t>
            </w:r>
          </w:p>
        </w:tc>
        <w:tc>
          <w:tcPr>
            <w:tcW w:w="6786" w:type="dxa"/>
            <w:vAlign w:val="center"/>
          </w:tcPr>
          <w:p w14:paraId="53FDD971">
            <w:pPr>
              <w:widowControl/>
              <w:adjustRightInd w:val="0"/>
              <w:snapToGrid w:val="0"/>
              <w:spacing w:line="276" w:lineRule="auto"/>
              <w:jc w:val="left"/>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企业报价：</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lang w:val="zh-CN"/>
              </w:rPr>
              <w:t>分</w:t>
            </w:r>
          </w:p>
          <w:p w14:paraId="497E8A5D">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服务方案</w:t>
            </w:r>
            <w:r>
              <w:rPr>
                <w:rFonts w:hint="default" w:ascii="Times New Roman" w:hAnsi="Times New Roman" w:eastAsia="仿宋_GB2312" w:cs="Times New Roman"/>
                <w:sz w:val="32"/>
                <w:szCs w:val="32"/>
                <w:lang w:val="zh-CN" w:eastAsia="zh-CN"/>
              </w:rPr>
              <w:t>：</w:t>
            </w:r>
            <w:r>
              <w:rPr>
                <w:rFonts w:hint="eastAsia" w:eastAsia="仿宋_GB2312" w:cs="Times New Roman"/>
                <w:sz w:val="32"/>
                <w:szCs w:val="32"/>
                <w:lang w:val="en-US" w:eastAsia="zh-CN"/>
              </w:rPr>
              <w:t xml:space="preserve"> 35</w:t>
            </w:r>
            <w:r>
              <w:rPr>
                <w:rFonts w:hint="default" w:ascii="Times New Roman" w:hAnsi="Times New Roman" w:eastAsia="仿宋_GB2312" w:cs="Times New Roman"/>
                <w:sz w:val="32"/>
                <w:szCs w:val="32"/>
                <w:lang w:val="zh-CN" w:eastAsia="zh-CN"/>
              </w:rPr>
              <w:t xml:space="preserve"> 分</w:t>
            </w:r>
          </w:p>
          <w:p w14:paraId="438C015E">
            <w:pPr>
              <w:widowControl/>
              <w:adjustRightInd w:val="0"/>
              <w:snapToGrid w:val="0"/>
              <w:spacing w:line="276" w:lineRule="auto"/>
              <w:jc w:val="left"/>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企业业绩</w:t>
            </w:r>
            <w:r>
              <w:rPr>
                <w:rFonts w:hint="default" w:ascii="Times New Roman" w:hAnsi="Times New Roman" w:eastAsia="仿宋_GB2312" w:cs="Times New Roman"/>
                <w:sz w:val="32"/>
                <w:szCs w:val="32"/>
                <w:lang w:val="zh-CN" w:eastAsia="zh-CN"/>
              </w:rPr>
              <w:t>：</w:t>
            </w:r>
            <w:r>
              <w:rPr>
                <w:rFonts w:hint="default" w:ascii="Times New Roman" w:hAnsi="Times New Roman" w:eastAsia="仿宋_GB2312" w:cs="Times New Roman"/>
                <w:sz w:val="32"/>
                <w:szCs w:val="32"/>
                <w:lang w:val="en-US" w:eastAsia="zh-CN"/>
              </w:rPr>
              <w:t xml:space="preserve"> 20 </w:t>
            </w:r>
            <w:r>
              <w:rPr>
                <w:rFonts w:hint="default" w:ascii="Times New Roman" w:hAnsi="Times New Roman" w:eastAsia="仿宋_GB2312" w:cs="Times New Roman"/>
                <w:sz w:val="32"/>
                <w:szCs w:val="32"/>
                <w:lang w:val="zh-CN" w:eastAsia="zh-CN"/>
              </w:rPr>
              <w:t>分</w:t>
            </w:r>
          </w:p>
          <w:p w14:paraId="361F9A3B">
            <w:pPr>
              <w:widowControl/>
              <w:adjustRightInd w:val="0"/>
              <w:snapToGrid w:val="0"/>
              <w:spacing w:line="276" w:lineRule="auto"/>
              <w:jc w:val="left"/>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 xml:space="preserve">管理机构： </w:t>
            </w: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 xml:space="preserve"> 分</w:t>
            </w:r>
          </w:p>
        </w:tc>
      </w:tr>
      <w:tr w14:paraId="523D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913" w:type="dxa"/>
            <w:tcMar>
              <w:top w:w="0" w:type="dxa"/>
              <w:left w:w="0" w:type="dxa"/>
              <w:bottom w:w="0" w:type="dxa"/>
              <w:right w:w="0" w:type="dxa"/>
            </w:tcMar>
            <w:vAlign w:val="center"/>
          </w:tcPr>
          <w:p w14:paraId="29BD1C9F">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评审项</w:t>
            </w:r>
          </w:p>
        </w:tc>
        <w:tc>
          <w:tcPr>
            <w:tcW w:w="6786" w:type="dxa"/>
            <w:tcMar>
              <w:top w:w="0" w:type="dxa"/>
              <w:left w:w="0" w:type="dxa"/>
              <w:bottom w:w="0" w:type="dxa"/>
              <w:right w:w="0" w:type="dxa"/>
            </w:tcMar>
            <w:vAlign w:val="center"/>
          </w:tcPr>
          <w:p w14:paraId="6A7DB7C0">
            <w:pPr>
              <w:jc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评标标准</w:t>
            </w:r>
          </w:p>
        </w:tc>
      </w:tr>
      <w:tr w14:paraId="0AD59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913" w:type="dxa"/>
            <w:tcMar>
              <w:top w:w="0" w:type="dxa"/>
              <w:left w:w="0" w:type="dxa"/>
              <w:bottom w:w="0" w:type="dxa"/>
              <w:right w:w="0" w:type="dxa"/>
            </w:tcMar>
            <w:vAlign w:val="center"/>
          </w:tcPr>
          <w:p w14:paraId="7DF4C8E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rPr>
              <w:t>报价</w:t>
            </w:r>
          </w:p>
          <w:p w14:paraId="6BE46B05">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eastAsia="仿宋_GB2312" w:cs="Times New Roman"/>
                <w:sz w:val="32"/>
                <w:szCs w:val="32"/>
                <w:lang w:val="en-US" w:eastAsia="zh-CN"/>
              </w:rPr>
              <w:t>25</w:t>
            </w:r>
            <w:r>
              <w:rPr>
                <w:rFonts w:hint="default" w:ascii="Times New Roman" w:hAnsi="Times New Roman" w:eastAsia="仿宋_GB2312" w:cs="Times New Roman"/>
                <w:sz w:val="32"/>
                <w:szCs w:val="32"/>
              </w:rPr>
              <w:t>分）</w:t>
            </w:r>
          </w:p>
        </w:tc>
        <w:tc>
          <w:tcPr>
            <w:tcW w:w="6786" w:type="dxa"/>
            <w:tcMar>
              <w:top w:w="0" w:type="dxa"/>
              <w:left w:w="0" w:type="dxa"/>
              <w:bottom w:w="0" w:type="dxa"/>
              <w:right w:w="0" w:type="dxa"/>
            </w:tcMar>
            <w:vAlign w:val="center"/>
          </w:tcPr>
          <w:p w14:paraId="05C22C73">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1.收费超过</w:t>
            </w:r>
            <w:r>
              <w:rPr>
                <w:rFonts w:hint="default" w:ascii="Times New Roman" w:hAnsi="Times New Roman" w:eastAsia="仿宋_GB2312" w:cs="Times New Roman"/>
                <w:sz w:val="32"/>
                <w:szCs w:val="32"/>
                <w:lang w:val="en-US" w:eastAsia="zh-CN"/>
              </w:rPr>
              <w:t>控制价的</w:t>
            </w:r>
            <w:r>
              <w:rPr>
                <w:rFonts w:hint="default" w:ascii="Times New Roman" w:hAnsi="Times New Roman" w:eastAsia="仿宋_GB2312" w:cs="Times New Roman"/>
                <w:sz w:val="32"/>
                <w:szCs w:val="32"/>
                <w:lang w:val="zh-CN"/>
              </w:rPr>
              <w:t>为无效报价；</w:t>
            </w:r>
          </w:p>
          <w:p w14:paraId="419113B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zh-CN"/>
              </w:rPr>
              <w:t>评标基准价：</w:t>
            </w:r>
            <w:r>
              <w:rPr>
                <w:rFonts w:hint="default" w:ascii="Times New Roman" w:hAnsi="Times New Roman" w:eastAsia="仿宋_GB2312" w:cs="Times New Roman"/>
                <w:color w:val="auto"/>
                <w:sz w:val="32"/>
                <w:szCs w:val="32"/>
                <w:highlight w:val="none"/>
                <w:lang w:val="en-US" w:eastAsia="zh-CN"/>
              </w:rPr>
              <w:t>所有参与的比选申请人最低的有效报价为基准报价</w:t>
            </w:r>
            <w:r>
              <w:rPr>
                <w:rFonts w:hint="eastAsia" w:ascii="Times New Roman" w:hAnsi="Times New Roman" w:eastAsia="仿宋_GB2312" w:cs="Times New Roman"/>
                <w:color w:val="auto"/>
                <w:sz w:val="32"/>
                <w:szCs w:val="32"/>
                <w:highlight w:val="none"/>
                <w:lang w:val="en-US" w:eastAsia="zh-CN"/>
              </w:rPr>
              <w:t>。</w:t>
            </w:r>
          </w:p>
          <w:p w14:paraId="0744E81D">
            <w:pPr>
              <w:widowControl/>
              <w:spacing w:line="440" w:lineRule="exact"/>
              <w:jc w:val="left"/>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3.报价得分=（基准报价/报价）×25分。</w:t>
            </w:r>
          </w:p>
        </w:tc>
      </w:tr>
      <w:tr w14:paraId="74CF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913" w:type="dxa"/>
            <w:tcMar>
              <w:top w:w="0" w:type="dxa"/>
              <w:left w:w="0" w:type="dxa"/>
              <w:bottom w:w="0" w:type="dxa"/>
              <w:right w:w="0" w:type="dxa"/>
            </w:tcMar>
            <w:vAlign w:val="center"/>
          </w:tcPr>
          <w:p w14:paraId="45E1142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服务方案</w:t>
            </w:r>
          </w:p>
          <w:p w14:paraId="4048F98F">
            <w:pPr>
              <w:adjustRightInd w:val="0"/>
              <w:snapToGrid w:val="0"/>
              <w:spacing w:line="276" w:lineRule="auto"/>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（30分）</w:t>
            </w:r>
          </w:p>
        </w:tc>
        <w:tc>
          <w:tcPr>
            <w:tcW w:w="6786" w:type="dxa"/>
            <w:tcMar>
              <w:top w:w="0" w:type="dxa"/>
              <w:left w:w="0" w:type="dxa"/>
              <w:bottom w:w="0" w:type="dxa"/>
              <w:right w:w="0" w:type="dxa"/>
            </w:tcMar>
            <w:vAlign w:val="center"/>
          </w:tcPr>
          <w:p w14:paraId="19B71211">
            <w:pPr>
              <w:widowControl/>
              <w:spacing w:line="440" w:lineRule="exact"/>
              <w:jc w:val="left"/>
              <w:textAlignment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1.提供项目实施方案咨询服务时间安排优秀的得8—15分，良好的得1—7分，没有不得分；</w:t>
            </w:r>
          </w:p>
          <w:p w14:paraId="33FF0B29">
            <w:pPr>
              <w:widowControl/>
              <w:spacing w:line="440" w:lineRule="exact"/>
              <w:jc w:val="left"/>
              <w:textAlignment w:val="center"/>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2.服务方案详细、全面、可行，在此次申报政府专项债过程中</w:t>
            </w:r>
            <w:r>
              <w:rPr>
                <w:rFonts w:hint="eastAsia" w:eastAsia="仿宋_GB2312" w:cs="Times New Roman"/>
                <w:sz w:val="32"/>
                <w:szCs w:val="32"/>
                <w:lang w:val="en-US" w:eastAsia="zh-CN"/>
              </w:rPr>
              <w:t>与其他服务机构</w:t>
            </w:r>
            <w:r>
              <w:rPr>
                <w:rFonts w:hint="default" w:ascii="Times New Roman" w:hAnsi="Times New Roman" w:eastAsia="仿宋_GB2312" w:cs="Times New Roman"/>
                <w:sz w:val="32"/>
                <w:szCs w:val="32"/>
                <w:lang w:val="en-US" w:eastAsia="zh-CN"/>
              </w:rPr>
              <w:t>协调沟通申报材料的编制及相关资料、数据的收集，包括但不限于申报流程、困难问题、评审意见反馈和解决方案等要素，方案和举措优秀的得11—20分，良好的得1—10分，没有不得分。</w:t>
            </w:r>
          </w:p>
        </w:tc>
      </w:tr>
      <w:tr w14:paraId="47470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36739F0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企业业绩</w:t>
            </w:r>
          </w:p>
          <w:p w14:paraId="033BE1E0">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2B7DE2E1">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每有一项2022年1月1日以来成功申报政府专项债项目业绩的得5分，最高20分，（以公示文件时间或者官方网站发布时间为准）并提供服务合同及成功申报政府专项债证明材料。</w:t>
            </w:r>
          </w:p>
        </w:tc>
      </w:tr>
      <w:tr w14:paraId="11B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3" w:type="dxa"/>
            <w:tcMar>
              <w:top w:w="0" w:type="dxa"/>
              <w:left w:w="0" w:type="dxa"/>
              <w:bottom w:w="0" w:type="dxa"/>
              <w:right w:w="0" w:type="dxa"/>
            </w:tcMar>
            <w:vAlign w:val="center"/>
          </w:tcPr>
          <w:p w14:paraId="034B8521">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管理机构</w:t>
            </w:r>
          </w:p>
          <w:p w14:paraId="4594E04B">
            <w:pPr>
              <w:adjustRightInd w:val="0"/>
              <w:snapToGrid w:val="0"/>
              <w:spacing w:line="276" w:lineRule="auto"/>
              <w:jc w:val="cente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（20分）</w:t>
            </w:r>
          </w:p>
        </w:tc>
        <w:tc>
          <w:tcPr>
            <w:tcW w:w="6786" w:type="dxa"/>
            <w:tcMar>
              <w:top w:w="0" w:type="dxa"/>
              <w:left w:w="0" w:type="dxa"/>
              <w:bottom w:w="0" w:type="dxa"/>
              <w:right w:w="0" w:type="dxa"/>
            </w:tcMar>
            <w:vAlign w:val="center"/>
          </w:tcPr>
          <w:p w14:paraId="1B6CE000">
            <w:pPr>
              <w:adjustRightInd w:val="0"/>
              <w:snapToGrid w:val="0"/>
              <w:spacing w:line="276" w:lineRule="auto"/>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项目服务员队中每有1名经济、会计相关中级（含）以上职称或注册会计师资格的成员得5分</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最高20分。注：以上人员证书除提供证明文件复印件或扫描件外同时应提供投标人为该人员缴纳近1年内任意连续3个月的社保证明材料，否则不得分。</w:t>
            </w:r>
          </w:p>
        </w:tc>
      </w:tr>
    </w:tbl>
    <w:p w14:paraId="50DD6B1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sz w:val="32"/>
          <w:szCs w:val="32"/>
          <w:lang w:val="zh-CN" w:eastAsia="zh-CN"/>
        </w:rPr>
      </w:pPr>
      <w:r>
        <w:rPr>
          <w:rFonts w:hint="default" w:ascii="Times New Roman" w:hAnsi="Times New Roman" w:eastAsia="仿宋_GB2312" w:cs="Times New Roman"/>
          <w:b/>
          <w:bCs/>
          <w:sz w:val="32"/>
          <w:szCs w:val="32"/>
          <w:lang w:val="zh-CN" w:eastAsia="zh-CN"/>
        </w:rPr>
        <w:t>（</w:t>
      </w:r>
      <w:r>
        <w:rPr>
          <w:rFonts w:hint="default"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zh-CN" w:eastAsia="zh-CN"/>
        </w:rPr>
        <w:t>）推荐</w:t>
      </w:r>
      <w:r>
        <w:rPr>
          <w:rFonts w:hint="default" w:ascii="Times New Roman" w:hAnsi="Times New Roman" w:eastAsia="仿宋_GB2312" w:cs="Times New Roman"/>
          <w:b/>
          <w:bCs/>
          <w:sz w:val="32"/>
          <w:szCs w:val="32"/>
          <w:lang w:val="en-US" w:eastAsia="zh-CN"/>
        </w:rPr>
        <w:t>中标</w:t>
      </w:r>
      <w:r>
        <w:rPr>
          <w:rFonts w:hint="default" w:ascii="Times New Roman" w:hAnsi="Times New Roman" w:eastAsia="仿宋_GB2312" w:cs="Times New Roman"/>
          <w:b/>
          <w:bCs/>
          <w:sz w:val="32"/>
          <w:szCs w:val="32"/>
          <w:lang w:val="zh-CN" w:eastAsia="zh-CN"/>
        </w:rPr>
        <w:t>候选人</w:t>
      </w:r>
    </w:p>
    <w:p w14:paraId="0948AAF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sz w:val="32"/>
          <w:szCs w:val="32"/>
          <w:lang w:eastAsia="zh-CN"/>
        </w:rPr>
        <w:t>比选</w:t>
      </w:r>
      <w:r>
        <w:rPr>
          <w:rFonts w:hint="default" w:ascii="Times New Roman" w:hAnsi="Times New Roman" w:eastAsia="仿宋_GB2312" w:cs="Times New Roman"/>
          <w:sz w:val="32"/>
          <w:szCs w:val="32"/>
        </w:rPr>
        <w:t>采用综合评分法，按照得分由高到低确定候选人</w:t>
      </w:r>
      <w:r>
        <w:rPr>
          <w:rFonts w:hint="default" w:ascii="Times New Roman" w:hAnsi="Times New Roman" w:eastAsia="仿宋" w:cs="Times New Roman"/>
          <w:sz w:val="32"/>
          <w:szCs w:val="32"/>
          <w:highlight w:val="none"/>
          <w:lang w:val="en-US" w:eastAsia="zh-CN"/>
        </w:rPr>
        <w:t>。</w:t>
      </w:r>
    </w:p>
    <w:p w14:paraId="500A3D2A">
      <w:pPr>
        <w:pStyle w:val="2"/>
        <w:rPr>
          <w:rFonts w:hint="default" w:ascii="Times New Roman" w:hAnsi="Times New Roman" w:eastAsia="仿宋" w:cs="Times New Roman"/>
          <w:sz w:val="32"/>
          <w:szCs w:val="32"/>
          <w:highlight w:val="none"/>
          <w:lang w:val="en-US" w:eastAsia="zh-CN"/>
        </w:rPr>
      </w:pPr>
    </w:p>
    <w:p w14:paraId="7B375B85">
      <w:pPr>
        <w:pStyle w:val="5"/>
        <w:rPr>
          <w:rFonts w:hint="default" w:ascii="Times New Roman" w:hAnsi="Times New Roman" w:eastAsia="仿宋" w:cs="Times New Roman"/>
          <w:sz w:val="32"/>
          <w:szCs w:val="32"/>
          <w:highlight w:val="none"/>
          <w:lang w:val="en-US" w:eastAsia="zh-CN"/>
        </w:rPr>
      </w:pPr>
    </w:p>
    <w:p w14:paraId="61679A43">
      <w:pPr>
        <w:pStyle w:val="5"/>
        <w:rPr>
          <w:rFonts w:hint="default" w:ascii="Times New Roman" w:hAnsi="Times New Roman" w:eastAsia="仿宋" w:cs="Times New Roman"/>
          <w:sz w:val="32"/>
          <w:szCs w:val="32"/>
          <w:highlight w:val="none"/>
          <w:lang w:val="en-US" w:eastAsia="zh-CN"/>
        </w:rPr>
      </w:pPr>
    </w:p>
    <w:p w14:paraId="1F3DB3A1">
      <w:pPr>
        <w:pStyle w:val="5"/>
        <w:rPr>
          <w:rFonts w:hint="default" w:ascii="Times New Roman" w:hAnsi="Times New Roman" w:eastAsia="仿宋" w:cs="Times New Roman"/>
          <w:sz w:val="32"/>
          <w:szCs w:val="32"/>
          <w:highlight w:val="none"/>
          <w:lang w:val="en-US" w:eastAsia="zh-CN"/>
        </w:rPr>
      </w:pPr>
    </w:p>
    <w:p w14:paraId="4E422AE9">
      <w:pPr>
        <w:pStyle w:val="5"/>
        <w:rPr>
          <w:rFonts w:hint="default" w:ascii="Times New Roman" w:hAnsi="Times New Roman" w:eastAsia="仿宋" w:cs="Times New Roman"/>
          <w:sz w:val="32"/>
          <w:szCs w:val="32"/>
          <w:highlight w:val="none"/>
          <w:lang w:val="en-US" w:eastAsia="zh-CN"/>
        </w:rPr>
      </w:pPr>
    </w:p>
    <w:p w14:paraId="16B8ED1F">
      <w:pPr>
        <w:pStyle w:val="5"/>
        <w:rPr>
          <w:rFonts w:hint="default" w:ascii="Times New Roman" w:hAnsi="Times New Roman" w:eastAsia="仿宋" w:cs="Times New Roman"/>
          <w:sz w:val="32"/>
          <w:szCs w:val="32"/>
          <w:highlight w:val="none"/>
          <w:lang w:val="en-US" w:eastAsia="zh-CN"/>
        </w:rPr>
      </w:pPr>
    </w:p>
    <w:p w14:paraId="5DAD726C">
      <w:pPr>
        <w:pStyle w:val="5"/>
        <w:rPr>
          <w:rFonts w:hint="default" w:ascii="Times New Roman" w:hAnsi="Times New Roman" w:eastAsia="仿宋" w:cs="Times New Roman"/>
          <w:sz w:val="32"/>
          <w:szCs w:val="32"/>
          <w:highlight w:val="none"/>
          <w:lang w:val="en-US" w:eastAsia="zh-CN"/>
        </w:rPr>
      </w:pPr>
    </w:p>
    <w:p w14:paraId="668EF280">
      <w:pPr>
        <w:pStyle w:val="5"/>
        <w:ind w:left="0" w:leftChars="0" w:firstLine="0" w:firstLineChars="0"/>
        <w:rPr>
          <w:rFonts w:hint="default" w:ascii="Times New Roman" w:hAnsi="Times New Roman" w:eastAsia="仿宋" w:cs="Times New Roman"/>
          <w:sz w:val="32"/>
          <w:szCs w:val="32"/>
          <w:highlight w:val="none"/>
          <w:lang w:val="en-US" w:eastAsia="zh-CN"/>
        </w:rPr>
      </w:pPr>
    </w:p>
    <w:p w14:paraId="0EC7A345">
      <w:pPr>
        <w:pStyle w:val="5"/>
        <w:spacing w:before="100" w:after="100"/>
        <w:ind w:left="0" w:leftChars="0" w:firstLine="0" w:firstLineChars="0"/>
        <w:rPr>
          <w:rFonts w:hint="default" w:ascii="Times New Roman" w:hAnsi="Times New Roman" w:eastAsia="仿宋_GB2312" w:cs="Times New Roman"/>
          <w:sz w:val="32"/>
          <w:szCs w:val="32"/>
          <w:lang w:eastAsia="zh-CN"/>
        </w:rPr>
      </w:pPr>
      <w:r>
        <w:rPr>
          <w:rFonts w:hint="default" w:ascii="Times New Roman" w:hAnsi="Times New Roman" w:eastAsia="仿宋" w:cs="Times New Roman"/>
          <w:sz w:val="32"/>
          <w:szCs w:val="32"/>
          <w:highlight w:val="none"/>
          <w:lang w:val="en-US" w:eastAsia="zh-CN"/>
        </w:rPr>
        <w:t>附件3：</w:t>
      </w:r>
    </w:p>
    <w:p w14:paraId="5222F0C3">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廉洁</w:t>
      </w:r>
      <w:r>
        <w:rPr>
          <w:rFonts w:hint="default" w:ascii="Times New Roman" w:hAnsi="Times New Roman" w:eastAsia="方正小标宋简体" w:cs="Times New Roman"/>
          <w:sz w:val="44"/>
          <w:szCs w:val="44"/>
          <w:lang w:val="en-US" w:eastAsia="zh-CN"/>
        </w:rPr>
        <w:t>自</w:t>
      </w:r>
      <w:r>
        <w:rPr>
          <w:rFonts w:hint="default" w:ascii="Times New Roman" w:hAnsi="Times New Roman" w:eastAsia="方正小标宋简体" w:cs="Times New Roman"/>
          <w:sz w:val="44"/>
          <w:szCs w:val="44"/>
        </w:rPr>
        <w:t>律承诺书</w:t>
      </w:r>
    </w:p>
    <w:p w14:paraId="21B58155">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p>
    <w:p w14:paraId="05714BC7">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公司</w:t>
      </w:r>
    </w:p>
    <w:p w14:paraId="5D715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为维护公平竞争的市场环境，确保经济活动的廉洁性</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合法性和透明度，防止任何形式的不正当交易及腐败行为，</w:t>
      </w:r>
      <w:r>
        <w:rPr>
          <w:rFonts w:hint="default" w:ascii="Times New Roman" w:hAnsi="Times New Roman" w:eastAsia="仿宋_GB2312" w:cs="Times New Roman"/>
          <w:color w:val="auto"/>
          <w:sz w:val="32"/>
          <w:szCs w:val="32"/>
          <w:lang w:val="en-US" w:eastAsia="zh-CN"/>
        </w:rPr>
        <w:t>我单位作为投标人，郑重</w:t>
      </w:r>
      <w:r>
        <w:rPr>
          <w:rFonts w:hint="default" w:ascii="Times New Roman" w:hAnsi="Times New Roman" w:eastAsia="仿宋_GB2312" w:cs="Times New Roman"/>
          <w:color w:val="auto"/>
          <w:sz w:val="32"/>
          <w:szCs w:val="32"/>
        </w:rPr>
        <w:t>承诺</w:t>
      </w:r>
      <w:r>
        <w:rPr>
          <w:rFonts w:hint="default" w:ascii="Times New Roman" w:hAnsi="Times New Roman" w:eastAsia="仿宋_GB2312" w:cs="Times New Roman"/>
          <w:color w:val="auto"/>
          <w:sz w:val="32"/>
          <w:szCs w:val="32"/>
          <w:lang w:val="en-US" w:eastAsia="zh-CN"/>
        </w:rPr>
        <w:t>如下</w:t>
      </w:r>
      <w:r>
        <w:rPr>
          <w:rFonts w:hint="default" w:ascii="Times New Roman" w:hAnsi="Times New Roman" w:eastAsia="仿宋_GB2312" w:cs="Times New Roman"/>
          <w:color w:val="auto"/>
          <w:sz w:val="32"/>
          <w:szCs w:val="32"/>
        </w:rPr>
        <w:t>:</w:t>
      </w:r>
    </w:p>
    <w:p w14:paraId="36F6D1F7">
      <w:pPr>
        <w:pStyle w:val="18"/>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严格遵守国家及地方关于招投标、市场竞争的相关法律法规，不使用不正当手段妨碍、排挤相关投标单位或串通投标</w:t>
      </w:r>
      <w:r>
        <w:rPr>
          <w:rFonts w:hint="default" w:ascii="Times New Roman" w:hAnsi="Times New Roman" w:eastAsia="仿宋_GB2312" w:cs="Times New Roman"/>
          <w:color w:val="auto"/>
          <w:sz w:val="32"/>
          <w:szCs w:val="32"/>
          <w:lang w:eastAsia="zh-CN"/>
        </w:rPr>
        <w:t>。</w:t>
      </w:r>
    </w:p>
    <w:p w14:paraId="5F35B557">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2.不以任何形式</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包括但不限于现金、礼品、有价证券回扣、佣金、提供旅游、娱乐活动等</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向招标人员、评标专家或其他</w:t>
      </w:r>
      <w:r>
        <w:rPr>
          <w:rFonts w:hint="default" w:ascii="Times New Roman" w:hAnsi="Times New Roman" w:eastAsia="仿宋_GB2312" w:cs="Times New Roman"/>
          <w:color w:val="auto"/>
          <w:sz w:val="32"/>
          <w:szCs w:val="32"/>
          <w:lang w:val="en-US" w:eastAsia="zh-CN"/>
        </w:rPr>
        <w:t>利害关系方</w:t>
      </w:r>
      <w:r>
        <w:rPr>
          <w:rFonts w:hint="default" w:ascii="Times New Roman" w:hAnsi="Times New Roman" w:eastAsia="仿宋_GB2312" w:cs="Times New Roman"/>
          <w:color w:val="auto"/>
          <w:sz w:val="32"/>
          <w:szCs w:val="32"/>
        </w:rPr>
        <w:t>进行贿赂或给予不正当利益。</w:t>
      </w:r>
    </w:p>
    <w:p w14:paraId="4C6D5DE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3.不进行任何可能影响招标公平、公正的活动或尝试干预评标过程。</w:t>
      </w:r>
    </w:p>
    <w:p w14:paraId="26638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如违反上述承诺，我单位愿意接受包括但不限于取消投标资格、中标无效、列入不良行为记录名单等，给招标单位造成损失的，依法承担赔偿责任。</w:t>
      </w:r>
    </w:p>
    <w:p w14:paraId="453483EA">
      <w:pPr>
        <w:keepNext w:val="0"/>
        <w:keepLines w:val="0"/>
        <w:pageBreakBefore w:val="0"/>
        <w:kinsoku/>
        <w:wordWrap/>
        <w:overflowPunct/>
        <w:topLinePunct w:val="0"/>
        <w:autoSpaceDE/>
        <w:autoSpaceDN/>
        <w:bidi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特此承诺。</w:t>
      </w:r>
    </w:p>
    <w:p w14:paraId="56DFFF22">
      <w:pPr>
        <w:ind w:firstLine="6400" w:firstLineChars="2000"/>
        <w:rPr>
          <w:rFonts w:hint="default" w:ascii="Times New Roman" w:hAnsi="Times New Roman" w:eastAsia="仿宋_GB2312" w:cs="Times New Roman"/>
          <w:sz w:val="32"/>
          <w:szCs w:val="32"/>
        </w:rPr>
      </w:pPr>
    </w:p>
    <w:p w14:paraId="5C3A5ED4">
      <w:pPr>
        <w:ind w:firstLine="4160" w:firstLineChars="13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单位名称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盖章</w:t>
      </w:r>
      <w:r>
        <w:rPr>
          <w:rFonts w:hint="eastAsia" w:ascii="Times New Roman" w:hAnsi="Times New Roman" w:eastAsia="仿宋_GB2312" w:cs="Times New Roman"/>
          <w:sz w:val="32"/>
          <w:szCs w:val="32"/>
          <w:lang w:eastAsia="zh-CN"/>
        </w:rPr>
        <w:t>）</w:t>
      </w:r>
    </w:p>
    <w:p w14:paraId="0F9F8FBC">
      <w:pPr>
        <w:ind w:firstLine="4160" w:firstLineChars="13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日期:</w:t>
      </w:r>
    </w:p>
    <w:p w14:paraId="536D1444">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highlight w:val="yellow"/>
          <w:lang w:val="en-US" w:eastAsia="zh-CN"/>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D7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894E673">
                    <w:pPr>
                      <w:pStyle w:val="11"/>
                      <w:rPr>
                        <w:rFonts w:hint="eastAsia" w:eastAsia="宋体"/>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chineseCounting"/>
      <w:pStyle w:val="8"/>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NWI0OGVmZWU4ZDY0N2NiNDcwNmU3N2UxMzlkMWIifQ=="/>
    <w:docVar w:name="KSO_WPS_MARK_KEY" w:val="e10be619-05dc-41cf-93cb-fd70e9d7f3f3"/>
  </w:docVars>
  <w:rsids>
    <w:rsidRoot w:val="00172A27"/>
    <w:rsid w:val="033A76CC"/>
    <w:rsid w:val="04760788"/>
    <w:rsid w:val="0477594A"/>
    <w:rsid w:val="065A0AB0"/>
    <w:rsid w:val="07FF36BC"/>
    <w:rsid w:val="087D1CE6"/>
    <w:rsid w:val="0A2C0437"/>
    <w:rsid w:val="0A5114E7"/>
    <w:rsid w:val="0BFD4952"/>
    <w:rsid w:val="0DCD1AE2"/>
    <w:rsid w:val="0E034D62"/>
    <w:rsid w:val="0F1958F7"/>
    <w:rsid w:val="0F7B53AF"/>
    <w:rsid w:val="100B7DD6"/>
    <w:rsid w:val="117E16C8"/>
    <w:rsid w:val="11DF756D"/>
    <w:rsid w:val="11F272A1"/>
    <w:rsid w:val="12E40173"/>
    <w:rsid w:val="13817D1B"/>
    <w:rsid w:val="15997A33"/>
    <w:rsid w:val="17A51BCE"/>
    <w:rsid w:val="19AF0C79"/>
    <w:rsid w:val="1A2226ED"/>
    <w:rsid w:val="1C7F3E11"/>
    <w:rsid w:val="1CEB654E"/>
    <w:rsid w:val="1D933F5E"/>
    <w:rsid w:val="1DC22489"/>
    <w:rsid w:val="1E6710C6"/>
    <w:rsid w:val="221102C8"/>
    <w:rsid w:val="234B5C3C"/>
    <w:rsid w:val="250B339C"/>
    <w:rsid w:val="279F3469"/>
    <w:rsid w:val="27BF38CF"/>
    <w:rsid w:val="283F1AED"/>
    <w:rsid w:val="29E1276B"/>
    <w:rsid w:val="2BC62952"/>
    <w:rsid w:val="2EC3522E"/>
    <w:rsid w:val="309143F1"/>
    <w:rsid w:val="31040B28"/>
    <w:rsid w:val="31187CAE"/>
    <w:rsid w:val="331104CE"/>
    <w:rsid w:val="35AA386B"/>
    <w:rsid w:val="35DA0371"/>
    <w:rsid w:val="36EC5FD8"/>
    <w:rsid w:val="394A0EC1"/>
    <w:rsid w:val="396F1F22"/>
    <w:rsid w:val="39B06AF4"/>
    <w:rsid w:val="3A001C20"/>
    <w:rsid w:val="3B7D13B0"/>
    <w:rsid w:val="3B930354"/>
    <w:rsid w:val="3BFE6232"/>
    <w:rsid w:val="3D1D6AF8"/>
    <w:rsid w:val="3E133130"/>
    <w:rsid w:val="3EBA132E"/>
    <w:rsid w:val="41100796"/>
    <w:rsid w:val="438D7307"/>
    <w:rsid w:val="44A9022F"/>
    <w:rsid w:val="44AA6782"/>
    <w:rsid w:val="454A3AE3"/>
    <w:rsid w:val="46026D68"/>
    <w:rsid w:val="461026EE"/>
    <w:rsid w:val="464042EF"/>
    <w:rsid w:val="47B42BE7"/>
    <w:rsid w:val="47FB2A68"/>
    <w:rsid w:val="4A3D2009"/>
    <w:rsid w:val="4B2116C3"/>
    <w:rsid w:val="4F833EAF"/>
    <w:rsid w:val="51596321"/>
    <w:rsid w:val="56C115DC"/>
    <w:rsid w:val="589C7FC2"/>
    <w:rsid w:val="592D19D8"/>
    <w:rsid w:val="596040BD"/>
    <w:rsid w:val="5CF873CF"/>
    <w:rsid w:val="5D331AE8"/>
    <w:rsid w:val="605B3EA8"/>
    <w:rsid w:val="61215F42"/>
    <w:rsid w:val="629E645C"/>
    <w:rsid w:val="62F72DBF"/>
    <w:rsid w:val="63B41DA5"/>
    <w:rsid w:val="645810E0"/>
    <w:rsid w:val="64E3180B"/>
    <w:rsid w:val="655F1E1A"/>
    <w:rsid w:val="66AA2E1B"/>
    <w:rsid w:val="68F608D3"/>
    <w:rsid w:val="6A865CCF"/>
    <w:rsid w:val="6BA97B57"/>
    <w:rsid w:val="6CAC04F4"/>
    <w:rsid w:val="70722F5B"/>
    <w:rsid w:val="70D44079"/>
    <w:rsid w:val="72D27981"/>
    <w:rsid w:val="768D3F82"/>
    <w:rsid w:val="77E57406"/>
    <w:rsid w:val="79E97840"/>
    <w:rsid w:val="7B2914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keepLines/>
      <w:numPr>
        <w:ilvl w:val="0"/>
        <w:numId w:val="1"/>
      </w:numPr>
      <w:spacing w:before="100" w:beforeLines="0" w:after="100" w:afterLines="0" w:line="240" w:lineRule="atLeast"/>
      <w:jc w:val="center"/>
      <w:outlineLvl w:val="0"/>
    </w:pPr>
    <w:rPr>
      <w:rFonts w:ascii="Times New Roman" w:hAnsi="Times New Roman"/>
      <w:b/>
      <w:bCs/>
      <w:kern w:val="44"/>
      <w:sz w:val="36"/>
      <w:szCs w:val="44"/>
    </w:rPr>
  </w:style>
  <w:style w:type="paragraph" w:styleId="9">
    <w:name w:val="heading 2"/>
    <w:basedOn w:val="1"/>
    <w:next w:val="1"/>
    <w:qFormat/>
    <w:uiPriority w:val="0"/>
    <w:pPr>
      <w:keepNext/>
      <w:keepLines/>
      <w:spacing w:before="100" w:beforeLines="0" w:beforeAutospacing="0" w:after="100" w:afterLines="0" w:afterAutospacing="0" w:line="240" w:lineRule="auto"/>
      <w:ind w:firstLine="0" w:firstLineChars="0"/>
      <w:outlineLvl w:val="1"/>
    </w:pPr>
    <w:rPr>
      <w:b/>
      <w:sz w:val="32"/>
    </w:rPr>
  </w:style>
  <w:style w:type="character" w:default="1" w:styleId="15">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ind w:firstLine="420" w:firstLineChars="100"/>
    </w:pPr>
    <w:rPr>
      <w:rFonts w:ascii="宋体" w:hAnsi="Times New Roman" w:eastAsia="宋体" w:cs="Times New Roman"/>
      <w:kern w:val="0"/>
      <w:sz w:val="34"/>
      <w:szCs w:val="20"/>
    </w:rPr>
  </w:style>
  <w:style w:type="paragraph" w:styleId="3">
    <w:name w:val="Body Text"/>
    <w:basedOn w:val="1"/>
    <w:next w:val="4"/>
    <w:qFormat/>
    <w:uiPriority w:val="0"/>
    <w:pPr>
      <w:jc w:val="center"/>
    </w:pPr>
    <w:rPr>
      <w:rFonts w:ascii="Times New Roman" w:hAnsi="Times New Roman" w:eastAsia="黑体" w:cs="Times New Roman"/>
      <w:sz w:val="36"/>
      <w:szCs w:val="20"/>
    </w:r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First Indent 2"/>
    <w:basedOn w:val="6"/>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paragraph" w:styleId="6">
    <w:name w:val="Body Text Indent"/>
    <w:basedOn w:val="1"/>
    <w:next w:val="7"/>
    <w:qFormat/>
    <w:uiPriority w:val="99"/>
    <w:pPr>
      <w:spacing w:after="120"/>
      <w:ind w:left="420" w:leftChars="200"/>
    </w:pPr>
  </w:style>
  <w:style w:type="paragraph" w:styleId="7">
    <w:name w:val="envelope return"/>
    <w:basedOn w:val="1"/>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0">
    <w:name w:val="Plain Text"/>
    <w:basedOn w:val="1"/>
    <w:qFormat/>
    <w:uiPriority w:val="0"/>
    <w:rPr>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character" w:styleId="16">
    <w:name w:val="Hyperlink"/>
    <w:basedOn w:val="15"/>
    <w:qFormat/>
    <w:uiPriority w:val="0"/>
    <w:rPr>
      <w:color w:val="0000FF"/>
      <w:u w:val="single"/>
    </w:rPr>
  </w:style>
  <w:style w:type="paragraph" w:customStyle="1" w:styleId="17">
    <w:name w:val="List Paragraph1"/>
    <w:basedOn w:val="1"/>
    <w:next w:val="1"/>
    <w:qFormat/>
    <w:uiPriority w:val="0"/>
    <w:pPr>
      <w:widowControl w:val="0"/>
      <w:autoSpaceDE/>
      <w:autoSpaceDN/>
      <w:spacing w:before="0" w:beforeLines="0" w:after="0" w:afterLines="0" w:line="240" w:lineRule="auto"/>
      <w:ind w:left="420" w:firstLine="3748"/>
      <w:jc w:val="both"/>
    </w:pPr>
  </w:style>
  <w:style w:type="paragraph" w:customStyle="1" w:styleId="18">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1006</Words>
  <Characters>1048</Characters>
  <Lines>0</Lines>
  <Paragraphs>0</Paragraphs>
  <TotalTime>0</TotalTime>
  <ScaleCrop>false</ScaleCrop>
  <LinksUpToDate>false</LinksUpToDate>
  <CharactersWithSpaces>1072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萌萌噠</cp:lastModifiedBy>
  <cp:lastPrinted>2024-05-20T08:53:00Z</cp:lastPrinted>
  <dcterms:modified xsi:type="dcterms:W3CDTF">2025-09-15T00:40:33Z</dcterms:modified>
  <dc:title>关于许禹供热长输管线项目勘察设计招标代理机构询比采购的邀请函</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BD748DE9810748789095386F373C9E4F_13</vt:lpwstr>
  </property>
  <property fmtid="{D5CDD505-2E9C-101B-9397-08002B2CF9AE}" pid="4" name="commondata">
    <vt:lpwstr>eyJoZGlkIjoiN2I0NDMxMDhhNzIxZjIxM2FiMjFkZWExNzY4MTY3OTUifQ==</vt:lpwstr>
  </property>
  <property fmtid="{D5CDD505-2E9C-101B-9397-08002B2CF9AE}" pid="5" name="KSOTemplateDocerSaveRecord">
    <vt:lpwstr>eyJoZGlkIjoiZjAwOWM3YTY3MTMwZTdlZDU2MDFiNDAxMTM0ZDA0ODYiLCJ1c2VySWQiOiIyNDcxNTk4MzcifQ==</vt:lpwstr>
  </property>
</Properties>
</file>