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3C4F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color w:val="000000"/>
                <w:sz w:val="24"/>
                <w:szCs w:val="24"/>
                <w:lang w:val="en-US" w:eastAsia="zh-CN"/>
              </w:rPr>
            </w:pPr>
            <w:r>
              <w:rPr>
                <w:rFonts w:hint="default" w:ascii="仿宋_GB2312" w:hAnsi="仿宋_GB2312" w:eastAsia="仿宋_GB2312" w:cs="仿宋_GB2312"/>
                <w:b w:val="0"/>
                <w:bCs/>
                <w:color w:val="000000"/>
                <w:sz w:val="24"/>
                <w:szCs w:val="24"/>
                <w:lang w:val="en-US" w:eastAsia="zh-CN"/>
              </w:rPr>
              <w:t>国道 311 线许周界至许昌西环建工程（许昌西环段）水土保持监测服务单位服务单位</w:t>
            </w:r>
            <w:r>
              <w:rPr>
                <w:rFonts w:hint="eastAsia" w:ascii="仿宋_GB2312" w:hAnsi="仿宋_GB2312" w:eastAsia="仿宋_GB2312" w:cs="仿宋_GB2312"/>
                <w:b w:val="0"/>
                <w:bCs/>
                <w:color w:val="000000"/>
                <w:sz w:val="24"/>
                <w:szCs w:val="24"/>
                <w:lang w:val="en-US" w:eastAsia="zh-CN"/>
              </w:rPr>
              <w:t>（一标段）</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 xml:space="preserve">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企业业绩：</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15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5947E05F">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1、服务费超过控制价为无效报价；</w:t>
            </w:r>
          </w:p>
          <w:p w14:paraId="46AE96A3">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2、所有参与的申请人最低的有效报价为基准报价；</w:t>
            </w:r>
          </w:p>
          <w:p w14:paraId="5F48256A">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3、报价得分=（基准报价/报价）×40分。</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企业资质</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（10分）</w:t>
            </w:r>
          </w:p>
        </w:tc>
        <w:tc>
          <w:tcPr>
            <w:tcW w:w="6786" w:type="dxa"/>
            <w:shd w:val="clear" w:color="auto" w:fill="auto"/>
            <w:tcMar>
              <w:top w:w="0" w:type="dxa"/>
              <w:left w:w="0" w:type="dxa"/>
              <w:bottom w:w="0" w:type="dxa"/>
              <w:right w:w="0" w:type="dxa"/>
            </w:tcMar>
            <w:vAlign w:val="center"/>
          </w:tcPr>
          <w:p w14:paraId="549F680C">
            <w:pPr>
              <w:widowControl/>
              <w:adjustRightInd w:val="0"/>
              <w:snapToGrid w:val="0"/>
              <w:spacing w:line="276"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项目负责人必须是水利专业工程师。工程师：10分（不含项目负责人），项目团队中2名中级工程师（水利、建筑、经济、测绘等）得基本分6分，每增加一名加2分。每增加一名助理服务工程师加1分。满分10分。团队组成人员须提供劳动合同等证明文件证书复印件。</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7C1820A5">
            <w:pPr>
              <w:widowControl/>
              <w:numPr>
                <w:ilvl w:val="0"/>
                <w:numId w:val="0"/>
              </w:numPr>
              <w:wordWrap/>
              <w:adjustRightInd w:val="0"/>
              <w:snapToGrid w:val="0"/>
              <w:spacing w:line="540" w:lineRule="exact"/>
              <w:ind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分）</w:t>
            </w:r>
          </w:p>
        </w:tc>
        <w:tc>
          <w:tcPr>
            <w:tcW w:w="6786" w:type="dxa"/>
            <w:shd w:val="clear" w:color="auto" w:fill="auto"/>
            <w:tcMar>
              <w:top w:w="0" w:type="dxa"/>
              <w:left w:w="0" w:type="dxa"/>
              <w:bottom w:w="0" w:type="dxa"/>
              <w:right w:w="0" w:type="dxa"/>
            </w:tcMar>
            <w:vAlign w:val="center"/>
          </w:tcPr>
          <w:p w14:paraId="356EDA5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自2022年1月以来近三年服务项目类似业绩(以合同或中标通知书为准）三项及以上者得15分，缺一项扣5分,没有不得分。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（35分）</w:t>
            </w:r>
          </w:p>
        </w:tc>
        <w:tc>
          <w:tcPr>
            <w:tcW w:w="6786" w:type="dxa"/>
            <w:tcMar>
              <w:top w:w="0" w:type="dxa"/>
              <w:left w:w="0" w:type="dxa"/>
              <w:bottom w:w="0" w:type="dxa"/>
              <w:right w:w="0" w:type="dxa"/>
            </w:tcMar>
            <w:vAlign w:val="center"/>
          </w:tcPr>
          <w:p w14:paraId="403CA43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1、服务方案：针对具体项目类型特点，制定详细全面的服务方案，明确服务原则、重点难点服务内容、具体服务措施等。（满分10分）</w:t>
            </w:r>
          </w:p>
          <w:p w14:paraId="25E5BE7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（1）服务方案详细全面、有针对性，服务措施合理科学的得8-10分；</w:t>
            </w:r>
          </w:p>
          <w:p w14:paraId="16637B61">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（2）服务方案比较可行、有针对性，服务措施比较合理科学的得5-7分；</w:t>
            </w:r>
          </w:p>
          <w:p w14:paraId="2892DEE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（3）服务方案可行性、针对性一般，服务措施基本合理科学的得2-4分。</w:t>
            </w:r>
          </w:p>
          <w:p w14:paraId="3635623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2、服务质量保证措施：针对本项目质量要求，制定出实现质量目标的具体保证措施，进行分析并制定出相应的处理方法。（满分10分）</w:t>
            </w:r>
          </w:p>
          <w:p w14:paraId="298FD12B">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（1）保证体系健全、完整、合理、思路清晰并具有一定的严谨性的得8-10分；</w:t>
            </w:r>
          </w:p>
          <w:p w14:paraId="41E8FDF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（2）保证体系基本健全、完整的得5-7分；</w:t>
            </w:r>
          </w:p>
          <w:p w14:paraId="5F536AB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（3）保证体系一般的得2-4分。</w:t>
            </w:r>
          </w:p>
          <w:p w14:paraId="571285C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3、项目进度安排：（满分5分）</w:t>
            </w:r>
          </w:p>
          <w:p w14:paraId="1156437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（1）工作进度安排具体、合理、可行，完全满足招标要求得5分；</w:t>
            </w:r>
          </w:p>
          <w:p w14:paraId="2DCA40D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（2）工作进度安排基本合理，基本满足招标要求得3-4 分。</w:t>
            </w:r>
          </w:p>
          <w:p w14:paraId="46B4CBD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（3）工作进度安排一般的得0-2分</w:t>
            </w:r>
          </w:p>
          <w:p w14:paraId="29008366">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4、保密措施及档案管理制度。（满分5分）</w:t>
            </w:r>
          </w:p>
          <w:p w14:paraId="5847B56A">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（1）有完善保密方案、档案的收集、整理、保管、利用得5分</w:t>
            </w:r>
          </w:p>
          <w:p w14:paraId="502FCC3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（2）切实可行且合理的得3-4分</w:t>
            </w:r>
          </w:p>
          <w:p w14:paraId="7E60EE0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（3）基本切实可行的得0-2分</w:t>
            </w:r>
          </w:p>
          <w:p w14:paraId="694DC6CA">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5、服务承诺。（满分5分）在服务期限内按照采购人要求的时限和质量完成项目任务，并做出承诺：响应及时（2小时内）、拟派人员固定、廉洁自律、成果文件完整、符合国家标准。每承诺一项得1分，满分5分。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241423E">
      <w:pPr>
        <w:pStyle w:val="12"/>
        <w:rPr>
          <w:rFonts w:hint="eastAsia" w:ascii="仿宋" w:hAnsi="仿宋" w:eastAsia="仿宋" w:cs="仿宋"/>
          <w:sz w:val="32"/>
          <w:szCs w:val="32"/>
          <w:highlight w:val="none"/>
          <w:lang w:val="en-US" w:eastAsia="zh-CN"/>
        </w:rPr>
      </w:pPr>
    </w:p>
    <w:p w14:paraId="1663472C">
      <w:pPr>
        <w:pStyle w:val="13"/>
        <w:ind w:left="0" w:leftChars="0" w:firstLine="0" w:firstLineChars="0"/>
        <w:rPr>
          <w:rFonts w:hint="eastAsia" w:ascii="仿宋" w:hAnsi="仿宋" w:eastAsia="仿宋" w:cs="仿宋"/>
          <w:sz w:val="32"/>
          <w:szCs w:val="32"/>
          <w:highlight w:val="none"/>
          <w:lang w:val="en-US" w:eastAsia="zh-CN"/>
        </w:rPr>
      </w:pPr>
    </w:p>
    <w:p w14:paraId="3C0FFF87">
      <w:pPr>
        <w:rPr>
          <w:rFonts w:hint="eastAsia" w:ascii="仿宋" w:hAnsi="仿宋" w:eastAsia="仿宋" w:cs="仿宋"/>
          <w:sz w:val="32"/>
          <w:szCs w:val="32"/>
          <w:highlight w:val="none"/>
          <w:lang w:val="en-US" w:eastAsia="zh-CN"/>
        </w:rPr>
      </w:pPr>
    </w:p>
    <w:p w14:paraId="799AA620">
      <w:pPr>
        <w:rPr>
          <w:rFonts w:hint="eastAsia" w:ascii="仿宋" w:hAnsi="仿宋" w:eastAsia="仿宋" w:cs="仿宋"/>
          <w:sz w:val="32"/>
          <w:szCs w:val="32"/>
          <w:highlight w:val="none"/>
          <w:lang w:val="en-US" w:eastAsia="zh-CN"/>
        </w:rPr>
      </w:pPr>
    </w:p>
    <w:p w14:paraId="322B3C4E">
      <w:pPr>
        <w:rPr>
          <w:rFonts w:hint="eastAsia" w:ascii="仿宋" w:hAnsi="仿宋" w:eastAsia="仿宋" w:cs="仿宋"/>
          <w:sz w:val="32"/>
          <w:szCs w:val="32"/>
          <w:highlight w:val="none"/>
          <w:lang w:val="en-US" w:eastAsia="zh-CN"/>
        </w:rPr>
      </w:pPr>
    </w:p>
    <w:p w14:paraId="5530203A">
      <w:pPr>
        <w:rPr>
          <w:rFonts w:hint="eastAsia" w:ascii="仿宋" w:hAnsi="仿宋" w:eastAsia="仿宋" w:cs="仿宋"/>
          <w:sz w:val="32"/>
          <w:szCs w:val="32"/>
          <w:highlight w:val="none"/>
          <w:lang w:val="en-US" w:eastAsia="zh-CN"/>
        </w:rPr>
      </w:pPr>
    </w:p>
    <w:p w14:paraId="3D8F0B5B">
      <w:pPr>
        <w:rPr>
          <w:rFonts w:hint="eastAsia" w:ascii="仿宋" w:hAnsi="仿宋" w:eastAsia="仿宋" w:cs="仿宋"/>
          <w:sz w:val="32"/>
          <w:szCs w:val="32"/>
          <w:highlight w:val="none"/>
          <w:lang w:val="en-US" w:eastAsia="zh-CN"/>
        </w:rPr>
      </w:pPr>
    </w:p>
    <w:p w14:paraId="23A6E738">
      <w:pPr>
        <w:rPr>
          <w:rFonts w:hint="eastAsia" w:ascii="仿宋" w:hAnsi="仿宋" w:eastAsia="仿宋" w:cs="仿宋"/>
          <w:sz w:val="32"/>
          <w:szCs w:val="32"/>
          <w:highlight w:val="none"/>
          <w:lang w:val="en-US" w:eastAsia="zh-CN"/>
        </w:rPr>
      </w:pPr>
    </w:p>
    <w:p w14:paraId="108B7DFE">
      <w:pPr>
        <w:rPr>
          <w:rFonts w:hint="eastAsia" w:ascii="仿宋" w:hAnsi="仿宋" w:eastAsia="仿宋" w:cs="仿宋"/>
          <w:sz w:val="32"/>
          <w:szCs w:val="32"/>
          <w:highlight w:val="none"/>
          <w:lang w:val="en-US" w:eastAsia="zh-CN"/>
        </w:rPr>
      </w:pPr>
    </w:p>
    <w:p w14:paraId="5FB85BD8">
      <w:pPr>
        <w:rPr>
          <w:rFonts w:hint="eastAsia" w:ascii="仿宋" w:hAnsi="仿宋" w:eastAsia="仿宋" w:cs="仿宋"/>
          <w:sz w:val="32"/>
          <w:szCs w:val="32"/>
          <w:highlight w:val="none"/>
          <w:lang w:val="en-US" w:eastAsia="zh-CN"/>
        </w:rPr>
      </w:pPr>
    </w:p>
    <w:p w14:paraId="6F59FB26">
      <w:pPr>
        <w:rPr>
          <w:rFonts w:hint="eastAsia" w:ascii="仿宋" w:hAnsi="仿宋" w:eastAsia="仿宋" w:cs="仿宋"/>
          <w:sz w:val="32"/>
          <w:szCs w:val="32"/>
          <w:highlight w:val="none"/>
          <w:lang w:val="en-US" w:eastAsia="zh-CN"/>
        </w:rPr>
      </w:pPr>
    </w:p>
    <w:p w14:paraId="195C648E">
      <w:pPr>
        <w:rPr>
          <w:rFonts w:hint="eastAsia" w:ascii="仿宋" w:hAnsi="仿宋" w:eastAsia="仿宋" w:cs="仿宋"/>
          <w:sz w:val="32"/>
          <w:szCs w:val="32"/>
          <w:highlight w:val="none"/>
          <w:lang w:val="en-US" w:eastAsia="zh-CN"/>
        </w:rPr>
      </w:pPr>
    </w:p>
    <w:p w14:paraId="125EBFE1">
      <w:pPr>
        <w:rPr>
          <w:rFonts w:hint="eastAsia" w:ascii="仿宋" w:hAnsi="仿宋" w:eastAsia="仿宋" w:cs="仿宋"/>
          <w:sz w:val="32"/>
          <w:szCs w:val="32"/>
          <w:highlight w:val="none"/>
          <w:lang w:val="en-US" w:eastAsia="zh-CN"/>
        </w:rPr>
      </w:pPr>
    </w:p>
    <w:p w14:paraId="2B1099FB">
      <w:pPr>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p w14:paraId="3A4105DC">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324666A1">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4B2FCB2B">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79A3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D12D1F4">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07ACAD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color w:val="000000"/>
                <w:sz w:val="24"/>
                <w:szCs w:val="24"/>
                <w:lang w:val="en-US" w:eastAsia="zh-CN"/>
              </w:rPr>
            </w:pPr>
            <w:r>
              <w:rPr>
                <w:rFonts w:hint="default" w:ascii="仿宋_GB2312" w:hAnsi="仿宋_GB2312" w:eastAsia="仿宋_GB2312" w:cs="仿宋_GB2312"/>
                <w:b w:val="0"/>
                <w:bCs/>
                <w:color w:val="000000"/>
                <w:sz w:val="24"/>
                <w:szCs w:val="24"/>
                <w:lang w:val="en-US" w:eastAsia="zh-CN"/>
              </w:rPr>
              <w:t>国道 311 线许周界至许昌西环建工程（许昌西环段）水土保持</w:t>
            </w:r>
            <w:r>
              <w:rPr>
                <w:rFonts w:hint="eastAsia" w:ascii="仿宋_GB2312" w:hAnsi="仿宋_GB2312" w:eastAsia="仿宋_GB2312" w:cs="仿宋_GB2312"/>
                <w:b w:val="0"/>
                <w:bCs/>
                <w:color w:val="000000"/>
                <w:sz w:val="24"/>
                <w:szCs w:val="24"/>
                <w:lang w:val="en-US" w:eastAsia="zh-CN"/>
              </w:rPr>
              <w:t>设施验收</w:t>
            </w:r>
            <w:r>
              <w:rPr>
                <w:rFonts w:hint="default" w:ascii="仿宋_GB2312" w:hAnsi="仿宋_GB2312" w:eastAsia="仿宋_GB2312" w:cs="仿宋_GB2312"/>
                <w:b w:val="0"/>
                <w:bCs/>
                <w:color w:val="000000"/>
                <w:sz w:val="24"/>
                <w:szCs w:val="24"/>
                <w:lang w:val="en-US" w:eastAsia="zh-CN"/>
              </w:rPr>
              <w:t>服务单位</w:t>
            </w:r>
            <w:r>
              <w:rPr>
                <w:rFonts w:hint="eastAsia" w:ascii="仿宋_GB2312" w:hAnsi="仿宋_GB2312" w:eastAsia="仿宋_GB2312" w:cs="仿宋_GB2312"/>
                <w:b w:val="0"/>
                <w:bCs/>
                <w:color w:val="000000"/>
                <w:sz w:val="24"/>
                <w:szCs w:val="24"/>
                <w:lang w:val="en-US" w:eastAsia="zh-CN"/>
              </w:rPr>
              <w:t>（二标段）</w:t>
            </w:r>
          </w:p>
        </w:tc>
      </w:tr>
      <w:tr w14:paraId="2727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0951DB22">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2C913BD">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6695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25E22C">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1582119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DB2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79300A7B">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3322E05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C80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C5BBBDE">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2C291E64">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41FF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BF04758">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690BC7C6">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744B6258">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759339EB">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30F13E7">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D2605CE">
      <w:pPr>
        <w:rPr>
          <w:rFonts w:hint="eastAsia" w:ascii="仿宋_GB2312" w:hAnsi="仿宋_GB2312" w:eastAsia="仿宋_GB2312" w:cs="仿宋_GB2312"/>
          <w:sz w:val="32"/>
          <w:szCs w:val="32"/>
          <w:highlight w:val="none"/>
          <w:lang w:val="en-US" w:eastAsia="zh-CN"/>
        </w:rPr>
      </w:pPr>
    </w:p>
    <w:p w14:paraId="1B7E0756">
      <w:pPr>
        <w:rPr>
          <w:rFonts w:hint="eastAsia" w:ascii="仿宋_GB2312" w:hAnsi="仿宋_GB2312" w:eastAsia="仿宋_GB2312" w:cs="仿宋_GB2312"/>
          <w:sz w:val="32"/>
          <w:szCs w:val="32"/>
          <w:highlight w:val="none"/>
          <w:lang w:val="en-US" w:eastAsia="zh-CN"/>
        </w:rPr>
      </w:pPr>
    </w:p>
    <w:p w14:paraId="6D46B1D3">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468E4495">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25B90F0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53EB4144">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1450CB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777B954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328E6159">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704F8CC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355F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36951870">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77E7E7B2">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444B31FE">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 xml:space="preserve">0 </w:t>
            </w:r>
            <w:r>
              <w:rPr>
                <w:rFonts w:hint="eastAsia" w:ascii="Times New Roman" w:hAnsi="Times New Roman" w:eastAsia="仿宋_GB2312" w:cs="Times New Roman"/>
                <w:sz w:val="32"/>
                <w:szCs w:val="32"/>
                <w:lang w:val="zh-CN" w:eastAsia="zh-CN"/>
              </w:rPr>
              <w:t>分</w:t>
            </w:r>
          </w:p>
          <w:p w14:paraId="0FB0D273">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zh-CN" w:eastAsia="zh-CN"/>
              </w:rPr>
              <w:t>分</w:t>
            </w:r>
          </w:p>
          <w:p w14:paraId="267EA868">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企业业绩：</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15 </w:t>
            </w:r>
            <w:r>
              <w:rPr>
                <w:rFonts w:hint="eastAsia" w:ascii="仿宋_GB2312" w:hAnsi="仿宋_GB2312" w:eastAsia="仿宋_GB2312" w:cs="仿宋_GB2312"/>
                <w:sz w:val="32"/>
                <w:szCs w:val="32"/>
                <w:lang w:val="en-US" w:eastAsia="zh-CN"/>
              </w:rPr>
              <w:t>分</w:t>
            </w:r>
          </w:p>
          <w:p w14:paraId="3C6CC223">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lang w:val="zh-CN" w:eastAsia="zh-CN"/>
              </w:rPr>
              <w:t xml:space="preserve"> 分</w:t>
            </w:r>
          </w:p>
        </w:tc>
      </w:tr>
      <w:tr w14:paraId="6C5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845504D">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3B4B3193">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1D35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7DD364C4">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4CE5FAD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B5097FB">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1、服务费超过控制价为无效报价；</w:t>
            </w:r>
          </w:p>
          <w:p w14:paraId="54A886D2">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2、所有参与的申请人最低的有效报价为基准报价；</w:t>
            </w:r>
          </w:p>
          <w:p w14:paraId="24E69FC4">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3、报价得分=（基准报价/报价）×40分。</w:t>
            </w:r>
          </w:p>
        </w:tc>
      </w:tr>
      <w:tr w14:paraId="5D6E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68439CD5">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企业资质</w:t>
            </w:r>
          </w:p>
          <w:p w14:paraId="70174C80">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（10分）</w:t>
            </w:r>
          </w:p>
        </w:tc>
        <w:tc>
          <w:tcPr>
            <w:tcW w:w="6786" w:type="dxa"/>
            <w:shd w:val="clear" w:color="auto" w:fill="auto"/>
            <w:tcMar>
              <w:top w:w="0" w:type="dxa"/>
              <w:left w:w="0" w:type="dxa"/>
              <w:bottom w:w="0" w:type="dxa"/>
              <w:right w:w="0" w:type="dxa"/>
            </w:tcMar>
            <w:vAlign w:val="center"/>
          </w:tcPr>
          <w:p w14:paraId="70C3F0CC">
            <w:pPr>
              <w:widowControl/>
              <w:adjustRightInd w:val="0"/>
              <w:snapToGrid w:val="0"/>
              <w:spacing w:line="276"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项目负责人必须是水利专业工程师。工程师：10分（不含项目负责人），项目团队中2名中级工程师（水利、建筑、经济、测绘等）得基本分6分，每增加一名加2分。每增加一名助理服务工程师加1分。满分10分。团队组成人员须提供劳动合同等证明文件证书复印件。</w:t>
            </w:r>
          </w:p>
        </w:tc>
      </w:tr>
      <w:tr w14:paraId="3DF4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742B6123">
            <w:pPr>
              <w:widowControl/>
              <w:numPr>
                <w:ilvl w:val="0"/>
                <w:numId w:val="0"/>
              </w:numPr>
              <w:wordWrap/>
              <w:adjustRightInd w:val="0"/>
              <w:snapToGrid w:val="0"/>
              <w:spacing w:line="540" w:lineRule="exact"/>
              <w:ind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18C40BC7">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分）</w:t>
            </w:r>
          </w:p>
        </w:tc>
        <w:tc>
          <w:tcPr>
            <w:tcW w:w="6786" w:type="dxa"/>
            <w:shd w:val="clear" w:color="auto" w:fill="auto"/>
            <w:tcMar>
              <w:top w:w="0" w:type="dxa"/>
              <w:left w:w="0" w:type="dxa"/>
              <w:bottom w:w="0" w:type="dxa"/>
              <w:right w:w="0" w:type="dxa"/>
            </w:tcMar>
            <w:vAlign w:val="center"/>
          </w:tcPr>
          <w:p w14:paraId="1E3D486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自2022年1月以来近三年服务项目类似业绩(以合同或中标通知书为准）三项及以上者得15分，缺一项扣5分,没有不得分。</w:t>
            </w:r>
          </w:p>
        </w:tc>
      </w:tr>
      <w:tr w14:paraId="2F4E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80CC560">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4C75CFF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（35分）</w:t>
            </w:r>
          </w:p>
        </w:tc>
        <w:tc>
          <w:tcPr>
            <w:tcW w:w="6786" w:type="dxa"/>
            <w:tcMar>
              <w:top w:w="0" w:type="dxa"/>
              <w:left w:w="0" w:type="dxa"/>
              <w:bottom w:w="0" w:type="dxa"/>
              <w:right w:w="0" w:type="dxa"/>
            </w:tcMar>
            <w:vAlign w:val="center"/>
          </w:tcPr>
          <w:p w14:paraId="54EB758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1、服务方案：针对具体项目类型特点，制定详细全面的服务方案，明确服务原则、重点难点服务内容、具体服务措施等。（满分10分）</w:t>
            </w:r>
          </w:p>
          <w:p w14:paraId="23A51C1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（1）服务方案详细全面、有针对性，服务措施合理科学的得8-10分；</w:t>
            </w:r>
          </w:p>
          <w:p w14:paraId="7598D521">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（2）服务方案比较可行、有针对性，服务措施比较合理科学的得5-7分；</w:t>
            </w:r>
          </w:p>
          <w:p w14:paraId="38BEC48A">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（3）服务方案可行性、针对性一般，服务措施基本合理科学的得2-4分。</w:t>
            </w:r>
          </w:p>
          <w:p w14:paraId="28380F2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2、服务质量保证措施：针对本项目质量要求，制定出实现质量目标的具体保证措施，进行分析并制定出相应的处理方法。（满分10分）</w:t>
            </w:r>
          </w:p>
          <w:p w14:paraId="35E1571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（1）保证体系健全、完整、合理、思路清晰并具有一定的严谨性的得8-10分；</w:t>
            </w:r>
          </w:p>
          <w:p w14:paraId="51856AE6">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（2）保证体系基本健全、完整的得5-7分；</w:t>
            </w:r>
          </w:p>
          <w:p w14:paraId="0E27157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（3）保证体系一般的得2-4分。</w:t>
            </w:r>
          </w:p>
          <w:p w14:paraId="5D7EAA7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3、项目进度安排：（满分5分）</w:t>
            </w:r>
          </w:p>
          <w:p w14:paraId="29E2CE8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（1）工作进度安排具体、合理、可行，完全满足招标要求得5分；</w:t>
            </w:r>
          </w:p>
          <w:p w14:paraId="1F7398A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（2）工作进度安排基本合理，基本满足招标要求得3-4 分。</w:t>
            </w:r>
          </w:p>
          <w:p w14:paraId="4796803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（3）工作进度安排一般的得0-2分</w:t>
            </w:r>
          </w:p>
          <w:p w14:paraId="235F3B1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4、保密措施及档案管理制度。（满分5分）</w:t>
            </w:r>
          </w:p>
          <w:p w14:paraId="1080EA7F">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（1）有完善保密方案、档案的收集、整理、保管、利用得5分</w:t>
            </w:r>
          </w:p>
          <w:p w14:paraId="2EEB814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（2）切实可行且合理的得3-4分</w:t>
            </w:r>
          </w:p>
          <w:p w14:paraId="7E811FF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（3）基本切实可行的得0-2分</w:t>
            </w:r>
          </w:p>
          <w:p w14:paraId="5B8A668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5、服务承诺。（满分5分）在服务期限内按照采购人要求的时限和质量完成项目任务，并做出承诺：响应及时（2小时内）、拟派人员固定、廉洁自律、成果文件完整、符合国家标准。每承诺一项得1分，满分5分。</w:t>
            </w:r>
          </w:p>
        </w:tc>
      </w:tr>
    </w:tbl>
    <w:p w14:paraId="74FB2D2B">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734A55A5">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1B4941C">
      <w:pPr>
        <w:pStyle w:val="12"/>
        <w:rPr>
          <w:rFonts w:hint="eastAsia" w:ascii="仿宋" w:hAnsi="仿宋" w:eastAsia="仿宋" w:cs="仿宋"/>
          <w:sz w:val="32"/>
          <w:szCs w:val="32"/>
          <w:highlight w:val="none"/>
          <w:lang w:val="en-US" w:eastAsia="zh-CN"/>
        </w:rPr>
      </w:pPr>
    </w:p>
    <w:p w14:paraId="128AA5A6">
      <w:pPr>
        <w:pStyle w:val="13"/>
        <w:ind w:left="0" w:leftChars="0" w:firstLine="0" w:firstLineChars="0"/>
        <w:rPr>
          <w:rFonts w:hint="eastAsia" w:ascii="仿宋" w:hAnsi="仿宋" w:eastAsia="仿宋" w:cs="仿宋"/>
          <w:sz w:val="32"/>
          <w:szCs w:val="32"/>
          <w:highlight w:val="none"/>
          <w:lang w:val="en-US" w:eastAsia="zh-CN"/>
        </w:rPr>
      </w:pPr>
    </w:p>
    <w:p w14:paraId="6B44408F">
      <w:pPr>
        <w:rPr>
          <w:rFonts w:hint="eastAsia" w:ascii="仿宋" w:hAnsi="仿宋" w:eastAsia="仿宋" w:cs="仿宋"/>
          <w:sz w:val="32"/>
          <w:szCs w:val="32"/>
          <w:highlight w:val="none"/>
          <w:lang w:val="en-US" w:eastAsia="zh-CN"/>
        </w:rPr>
      </w:pPr>
    </w:p>
    <w:p w14:paraId="6698C8C4">
      <w:pPr>
        <w:rPr>
          <w:rFonts w:hint="eastAsia" w:ascii="仿宋" w:hAnsi="仿宋" w:eastAsia="仿宋" w:cs="仿宋"/>
          <w:sz w:val="32"/>
          <w:szCs w:val="32"/>
          <w:highlight w:val="none"/>
          <w:lang w:val="en-US" w:eastAsia="zh-CN"/>
        </w:rPr>
      </w:pPr>
    </w:p>
    <w:p w14:paraId="36FA7D10">
      <w:pPr>
        <w:rPr>
          <w:rFonts w:hint="eastAsia" w:ascii="仿宋" w:hAnsi="仿宋" w:eastAsia="仿宋" w:cs="仿宋"/>
          <w:sz w:val="32"/>
          <w:szCs w:val="32"/>
          <w:highlight w:val="none"/>
          <w:lang w:val="en-US" w:eastAsia="zh-CN"/>
        </w:rPr>
      </w:pPr>
    </w:p>
    <w:p w14:paraId="6F7EB74E">
      <w:pPr>
        <w:rPr>
          <w:rFonts w:hint="eastAsia" w:ascii="仿宋" w:hAnsi="仿宋" w:eastAsia="仿宋" w:cs="仿宋"/>
          <w:sz w:val="32"/>
          <w:szCs w:val="32"/>
          <w:highlight w:val="none"/>
          <w:lang w:val="en-US" w:eastAsia="zh-CN"/>
        </w:rPr>
      </w:pPr>
    </w:p>
    <w:p w14:paraId="76293FFC">
      <w:pPr>
        <w:rPr>
          <w:rFonts w:hint="eastAsia" w:ascii="仿宋" w:hAnsi="仿宋" w:eastAsia="仿宋" w:cs="仿宋"/>
          <w:sz w:val="32"/>
          <w:szCs w:val="32"/>
          <w:highlight w:val="none"/>
          <w:lang w:val="en-US" w:eastAsia="zh-CN"/>
        </w:rPr>
      </w:pPr>
    </w:p>
    <w:p w14:paraId="0A1DFAF8">
      <w:pPr>
        <w:rPr>
          <w:rFonts w:hint="eastAsia" w:ascii="仿宋" w:hAnsi="仿宋" w:eastAsia="仿宋" w:cs="仿宋"/>
          <w:sz w:val="32"/>
          <w:szCs w:val="32"/>
          <w:highlight w:val="none"/>
          <w:lang w:val="en-US" w:eastAsia="zh-CN"/>
        </w:rPr>
      </w:pPr>
    </w:p>
    <w:p w14:paraId="25F7DFCA">
      <w:pPr>
        <w:rPr>
          <w:rFonts w:hint="eastAsia" w:ascii="仿宋" w:hAnsi="仿宋" w:eastAsia="仿宋" w:cs="仿宋"/>
          <w:sz w:val="32"/>
          <w:szCs w:val="32"/>
          <w:highlight w:val="none"/>
          <w:lang w:val="en-US" w:eastAsia="zh-CN"/>
        </w:rPr>
      </w:pPr>
    </w:p>
    <w:p w14:paraId="408CE43A">
      <w:pPr>
        <w:rPr>
          <w:rFonts w:hint="eastAsia" w:ascii="仿宋" w:hAnsi="仿宋" w:eastAsia="仿宋" w:cs="仿宋"/>
          <w:sz w:val="32"/>
          <w:szCs w:val="32"/>
          <w:highlight w:val="none"/>
          <w:lang w:val="en-US" w:eastAsia="zh-CN"/>
        </w:rPr>
      </w:pPr>
    </w:p>
    <w:p w14:paraId="5FC82E4C">
      <w:pPr>
        <w:rPr>
          <w:rFonts w:hint="eastAsia" w:ascii="仿宋" w:hAnsi="仿宋" w:eastAsia="仿宋" w:cs="仿宋"/>
          <w:sz w:val="32"/>
          <w:szCs w:val="32"/>
          <w:highlight w:val="none"/>
          <w:lang w:val="en-US" w:eastAsia="zh-CN"/>
        </w:rPr>
      </w:pPr>
    </w:p>
    <w:p w14:paraId="72319D16">
      <w:pPr>
        <w:rPr>
          <w:rFonts w:hint="eastAsia" w:ascii="仿宋" w:hAnsi="仿宋" w:eastAsia="仿宋" w:cs="仿宋"/>
          <w:sz w:val="32"/>
          <w:szCs w:val="32"/>
          <w:highlight w:val="none"/>
          <w:lang w:val="en-US" w:eastAsia="zh-CN"/>
        </w:rPr>
      </w:pPr>
    </w:p>
    <w:p w14:paraId="33C9ED7F">
      <w:pPr>
        <w:rPr>
          <w:rFonts w:hint="eastAsia" w:ascii="仿宋" w:hAnsi="仿宋" w:eastAsia="仿宋" w:cs="仿宋"/>
          <w:sz w:val="32"/>
          <w:szCs w:val="32"/>
          <w:highlight w:val="none"/>
          <w:lang w:val="en-US" w:eastAsia="zh-CN"/>
        </w:rPr>
      </w:pPr>
    </w:p>
    <w:p w14:paraId="4D01B9D1">
      <w:pPr>
        <w:rPr>
          <w:rFonts w:hint="eastAsia" w:ascii="仿宋" w:hAnsi="仿宋" w:eastAsia="仿宋" w:cs="仿宋"/>
          <w:sz w:val="32"/>
          <w:szCs w:val="32"/>
          <w:highlight w:val="none"/>
          <w:lang w:val="en-US" w:eastAsia="zh-CN"/>
        </w:rPr>
      </w:pPr>
    </w:p>
    <w:p w14:paraId="1A2E6CB2">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w:t>
      </w:r>
    </w:p>
    <w:p w14:paraId="1BC5F4A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7AA0CD0">
      <w:pPr>
        <w:wordWrap/>
        <w:spacing w:line="560" w:lineRule="exact"/>
        <w:rPr>
          <w:rFonts w:hint="eastAsia" w:ascii="仿宋_GB2312" w:hAnsi="仿宋_GB2312" w:eastAsia="仿宋_GB2312" w:cs="仿宋_GB2312"/>
          <w:color w:val="auto"/>
          <w:sz w:val="32"/>
          <w:szCs w:val="32"/>
        </w:rPr>
      </w:pPr>
    </w:p>
    <w:p w14:paraId="2FA6AF8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A475C5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1761C252">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50B7E008">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3023CFE4">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538F6197">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C87137E">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E71FCC8">
      <w:pPr>
        <w:ind w:firstLine="6400" w:firstLineChars="2000"/>
        <w:rPr>
          <w:rFonts w:hint="eastAsia" w:ascii="仿宋_GB2312" w:hAnsi="仿宋_GB2312" w:eastAsia="仿宋_GB2312" w:cs="仿宋_GB2312"/>
          <w:sz w:val="32"/>
          <w:szCs w:val="32"/>
        </w:rPr>
      </w:pPr>
    </w:p>
    <w:p w14:paraId="4B5E9497">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7DD8E05F">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4E2256D">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471314"/>
    <w:rsid w:val="033A76CC"/>
    <w:rsid w:val="03435D32"/>
    <w:rsid w:val="04760788"/>
    <w:rsid w:val="0477594A"/>
    <w:rsid w:val="04A6281D"/>
    <w:rsid w:val="04AC5B58"/>
    <w:rsid w:val="04F57BCC"/>
    <w:rsid w:val="059A64CC"/>
    <w:rsid w:val="065A0AB0"/>
    <w:rsid w:val="07400AFC"/>
    <w:rsid w:val="07FF36BC"/>
    <w:rsid w:val="0A2C0437"/>
    <w:rsid w:val="0B554C24"/>
    <w:rsid w:val="0BFD4952"/>
    <w:rsid w:val="0DCD1AE2"/>
    <w:rsid w:val="0F1958F7"/>
    <w:rsid w:val="100B7DD6"/>
    <w:rsid w:val="116E74E3"/>
    <w:rsid w:val="117E16C8"/>
    <w:rsid w:val="11AC53EA"/>
    <w:rsid w:val="12277102"/>
    <w:rsid w:val="12D9134B"/>
    <w:rsid w:val="12FD3C21"/>
    <w:rsid w:val="13926BAE"/>
    <w:rsid w:val="139C6AE3"/>
    <w:rsid w:val="15B96C5E"/>
    <w:rsid w:val="16262886"/>
    <w:rsid w:val="17155F13"/>
    <w:rsid w:val="17A51BCE"/>
    <w:rsid w:val="17C20C6F"/>
    <w:rsid w:val="1B507B0C"/>
    <w:rsid w:val="1C835196"/>
    <w:rsid w:val="1CEB654E"/>
    <w:rsid w:val="1DC22489"/>
    <w:rsid w:val="1E6710C6"/>
    <w:rsid w:val="1E890667"/>
    <w:rsid w:val="1F1664EC"/>
    <w:rsid w:val="1F861D31"/>
    <w:rsid w:val="20BA4033"/>
    <w:rsid w:val="21B04977"/>
    <w:rsid w:val="22286977"/>
    <w:rsid w:val="22900BB2"/>
    <w:rsid w:val="234B5C3C"/>
    <w:rsid w:val="250B339C"/>
    <w:rsid w:val="25B415F5"/>
    <w:rsid w:val="27B5129D"/>
    <w:rsid w:val="27BF38CF"/>
    <w:rsid w:val="283F1AED"/>
    <w:rsid w:val="28B62672"/>
    <w:rsid w:val="29B575A9"/>
    <w:rsid w:val="29E1276B"/>
    <w:rsid w:val="2AED38D4"/>
    <w:rsid w:val="2B581BF2"/>
    <w:rsid w:val="2BC62952"/>
    <w:rsid w:val="2CC66F08"/>
    <w:rsid w:val="2EC3522E"/>
    <w:rsid w:val="30305D0A"/>
    <w:rsid w:val="309143F1"/>
    <w:rsid w:val="331104CE"/>
    <w:rsid w:val="33F17549"/>
    <w:rsid w:val="366D7797"/>
    <w:rsid w:val="36EC5FD8"/>
    <w:rsid w:val="38496769"/>
    <w:rsid w:val="384B1BA2"/>
    <w:rsid w:val="396F1F22"/>
    <w:rsid w:val="399765E7"/>
    <w:rsid w:val="39B06AF4"/>
    <w:rsid w:val="3ADE6BB9"/>
    <w:rsid w:val="3B930354"/>
    <w:rsid w:val="3BFE6232"/>
    <w:rsid w:val="3D1D6AF8"/>
    <w:rsid w:val="3E5548D7"/>
    <w:rsid w:val="3EE04C6E"/>
    <w:rsid w:val="3F5930F5"/>
    <w:rsid w:val="4070746C"/>
    <w:rsid w:val="4290206D"/>
    <w:rsid w:val="438D7307"/>
    <w:rsid w:val="442A5BD9"/>
    <w:rsid w:val="454A3AE3"/>
    <w:rsid w:val="45502C7D"/>
    <w:rsid w:val="461026EE"/>
    <w:rsid w:val="464042EF"/>
    <w:rsid w:val="468F1307"/>
    <w:rsid w:val="47B42BE7"/>
    <w:rsid w:val="47FB2A68"/>
    <w:rsid w:val="4A3D2009"/>
    <w:rsid w:val="4B2116C3"/>
    <w:rsid w:val="4B6B4494"/>
    <w:rsid w:val="4BAF6E8A"/>
    <w:rsid w:val="4E814092"/>
    <w:rsid w:val="4F71212E"/>
    <w:rsid w:val="4FDC1809"/>
    <w:rsid w:val="4FF27880"/>
    <w:rsid w:val="504C2670"/>
    <w:rsid w:val="531862B9"/>
    <w:rsid w:val="53833B16"/>
    <w:rsid w:val="53E21C7B"/>
    <w:rsid w:val="5549003E"/>
    <w:rsid w:val="58517D83"/>
    <w:rsid w:val="58535244"/>
    <w:rsid w:val="589C7FC2"/>
    <w:rsid w:val="58A9515A"/>
    <w:rsid w:val="596040BD"/>
    <w:rsid w:val="5A0803C7"/>
    <w:rsid w:val="5BFB48DE"/>
    <w:rsid w:val="5CF873CF"/>
    <w:rsid w:val="5DA12EF6"/>
    <w:rsid w:val="61215F42"/>
    <w:rsid w:val="62641F69"/>
    <w:rsid w:val="629E645C"/>
    <w:rsid w:val="62A20064"/>
    <w:rsid w:val="62F72DBF"/>
    <w:rsid w:val="635A1B7D"/>
    <w:rsid w:val="63A01D36"/>
    <w:rsid w:val="63B41DA5"/>
    <w:rsid w:val="64555C7B"/>
    <w:rsid w:val="655F1E1A"/>
    <w:rsid w:val="658E425E"/>
    <w:rsid w:val="66304155"/>
    <w:rsid w:val="67934844"/>
    <w:rsid w:val="68F608D3"/>
    <w:rsid w:val="6AD87C8C"/>
    <w:rsid w:val="6B6E6EE6"/>
    <w:rsid w:val="6BA97B57"/>
    <w:rsid w:val="6CAC04F4"/>
    <w:rsid w:val="6D6535F8"/>
    <w:rsid w:val="70722F5B"/>
    <w:rsid w:val="70D44079"/>
    <w:rsid w:val="70F82CCD"/>
    <w:rsid w:val="71A2163F"/>
    <w:rsid w:val="71AB32FD"/>
    <w:rsid w:val="74F51705"/>
    <w:rsid w:val="7507768A"/>
    <w:rsid w:val="768D3F82"/>
    <w:rsid w:val="768F7791"/>
    <w:rsid w:val="775B1880"/>
    <w:rsid w:val="77E57406"/>
    <w:rsid w:val="79DA0070"/>
    <w:rsid w:val="79E97840"/>
    <w:rsid w:val="7BD60CC6"/>
    <w:rsid w:val="7BE03191"/>
    <w:rsid w:val="7C222C76"/>
    <w:rsid w:val="7E947360"/>
    <w:rsid w:val="7F2845D0"/>
    <w:rsid w:val="7F69251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1388</Words>
  <Characters>1436</Characters>
  <Lines>0</Lines>
  <Paragraphs>0</Paragraphs>
  <TotalTime>1</TotalTime>
  <ScaleCrop>false</ScaleCrop>
  <LinksUpToDate>false</LinksUpToDate>
  <CharactersWithSpaces>1480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2025-05-26T01:23:00Z</cp:lastPrinted>
  <dcterms:modified xsi:type="dcterms:W3CDTF">2025-09-24T09:16:32Z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D9D852601C144AFE90D409AE70094F72_13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